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9844B">
      <w:pPr>
        <w:tabs>
          <w:tab w:val="left" w:pos="1069"/>
          <w:tab w:val="left" w:pos="2352"/>
        </w:tabs>
        <w:jc w:val="center"/>
        <w:rPr>
          <w:rFonts w:ascii="宋体" w:hAnsi="宋体" w:cs="宋体"/>
          <w:b/>
          <w:bCs/>
          <w:color w:val="auto"/>
          <w:spacing w:val="100"/>
          <w:sz w:val="72"/>
          <w:szCs w:val="72"/>
          <w:highlight w:val="none"/>
        </w:rPr>
      </w:pPr>
      <w:bookmarkStart w:id="272" w:name="_GoBack"/>
      <w:bookmarkEnd w:id="272"/>
    </w:p>
    <w:p w14:paraId="3078C3F9">
      <w:pPr>
        <w:tabs>
          <w:tab w:val="left" w:pos="1069"/>
          <w:tab w:val="left" w:pos="2352"/>
        </w:tabs>
        <w:jc w:val="center"/>
        <w:rPr>
          <w:rFonts w:ascii="宋体" w:hAnsi="宋体" w:cs="宋体"/>
          <w:b/>
          <w:bCs/>
          <w:color w:val="auto"/>
          <w:spacing w:val="100"/>
          <w:sz w:val="72"/>
          <w:szCs w:val="72"/>
          <w:highlight w:val="none"/>
        </w:rPr>
      </w:pPr>
      <w:r>
        <w:rPr>
          <w:rFonts w:hint="eastAsia" w:ascii="宋体" w:hAnsi="宋体" w:cs="宋体"/>
          <w:b/>
          <w:bCs/>
          <w:color w:val="auto"/>
          <w:spacing w:val="100"/>
          <w:sz w:val="72"/>
          <w:szCs w:val="72"/>
          <w:highlight w:val="none"/>
        </w:rPr>
        <w:t>泰顺县政府采购</w:t>
      </w:r>
    </w:p>
    <w:p w14:paraId="482922A2">
      <w:pPr>
        <w:tabs>
          <w:tab w:val="left" w:pos="1069"/>
          <w:tab w:val="left" w:pos="2352"/>
        </w:tabs>
        <w:jc w:val="center"/>
        <w:rPr>
          <w:rFonts w:ascii="宋体" w:hAnsi="宋体" w:cs="宋体"/>
          <w:b/>
          <w:bCs/>
          <w:color w:val="auto"/>
          <w:kern w:val="0"/>
          <w:szCs w:val="24"/>
          <w:highlight w:val="none"/>
        </w:rPr>
      </w:pPr>
    </w:p>
    <w:p w14:paraId="0A068EAF">
      <w:pPr>
        <w:pStyle w:val="39"/>
        <w:tabs>
          <w:tab w:val="left" w:pos="1069"/>
          <w:tab w:val="left" w:pos="2352"/>
        </w:tabs>
        <w:rPr>
          <w:rFonts w:hint="eastAsia" w:ascii="宋体" w:hAnsi="宋体" w:eastAsia="宋体" w:cs="宋体"/>
          <w:color w:val="auto"/>
          <w:highlight w:val="none"/>
          <w:lang w:eastAsia="zh-CN"/>
        </w:rPr>
      </w:pPr>
    </w:p>
    <w:p w14:paraId="575CD58A">
      <w:pPr>
        <w:pStyle w:val="9"/>
        <w:rPr>
          <w:rFonts w:hint="eastAsia" w:ascii="宋体" w:hAnsi="宋体" w:eastAsia="宋体" w:cs="宋体"/>
          <w:color w:val="auto"/>
          <w:highlight w:val="none"/>
          <w:lang w:eastAsia="zh-CN"/>
        </w:rPr>
      </w:pPr>
    </w:p>
    <w:p w14:paraId="5656FA77">
      <w:pPr>
        <w:pStyle w:val="10"/>
        <w:rPr>
          <w:rFonts w:hint="eastAsia"/>
          <w:color w:val="auto"/>
          <w:highlight w:val="none"/>
          <w:lang w:eastAsia="zh-CN"/>
        </w:rPr>
      </w:pPr>
    </w:p>
    <w:p w14:paraId="386116DE">
      <w:pPr>
        <w:pStyle w:val="9"/>
        <w:tabs>
          <w:tab w:val="left" w:pos="1069"/>
          <w:tab w:val="left" w:pos="2352"/>
        </w:tabs>
        <w:rPr>
          <w:rFonts w:ascii="宋体" w:hAnsi="宋体" w:cs="宋体"/>
          <w:b/>
          <w:color w:val="auto"/>
          <w:szCs w:val="24"/>
          <w:highlight w:val="none"/>
        </w:rPr>
      </w:pPr>
    </w:p>
    <w:p w14:paraId="20876F4E">
      <w:pPr>
        <w:rPr>
          <w:color w:val="auto"/>
          <w:highlight w:val="none"/>
        </w:rPr>
      </w:pPr>
    </w:p>
    <w:p w14:paraId="2D41A109">
      <w:pPr>
        <w:rPr>
          <w:color w:val="auto"/>
          <w:highlight w:val="none"/>
        </w:rPr>
      </w:pPr>
    </w:p>
    <w:p w14:paraId="70456528">
      <w:pPr>
        <w:rPr>
          <w:rFonts w:ascii="宋体" w:hAnsi="宋体" w:cs="宋体"/>
          <w:b/>
          <w:color w:val="auto"/>
          <w:szCs w:val="24"/>
          <w:highlight w:val="none"/>
        </w:rPr>
      </w:pPr>
    </w:p>
    <w:p w14:paraId="45D70045">
      <w:pPr>
        <w:pStyle w:val="9"/>
        <w:tabs>
          <w:tab w:val="left" w:pos="1069"/>
          <w:tab w:val="left" w:pos="2352"/>
        </w:tabs>
        <w:rPr>
          <w:rFonts w:ascii="宋体" w:hAnsi="宋体" w:cs="宋体"/>
          <w:b/>
          <w:color w:val="auto"/>
          <w:szCs w:val="24"/>
          <w:highlight w:val="none"/>
        </w:rPr>
      </w:pPr>
    </w:p>
    <w:p w14:paraId="76C59AE9">
      <w:pPr>
        <w:pStyle w:val="9"/>
        <w:tabs>
          <w:tab w:val="left" w:pos="1069"/>
          <w:tab w:val="left" w:pos="2352"/>
        </w:tabs>
        <w:rPr>
          <w:rFonts w:ascii="宋体" w:hAnsi="宋体" w:cs="宋体"/>
          <w:b/>
          <w:color w:val="auto"/>
          <w:szCs w:val="24"/>
          <w:highlight w:val="none"/>
        </w:rPr>
      </w:pPr>
    </w:p>
    <w:p w14:paraId="7CA3DF51">
      <w:pPr>
        <w:tabs>
          <w:tab w:val="left" w:pos="1069"/>
          <w:tab w:val="left" w:pos="2352"/>
        </w:tabs>
        <w:spacing w:line="900" w:lineRule="exact"/>
        <w:jc w:val="center"/>
        <w:rPr>
          <w:rFonts w:ascii="宋体" w:hAnsi="宋体" w:cs="宋体"/>
          <w:b/>
          <w:bCs/>
          <w:color w:val="auto"/>
          <w:spacing w:val="140"/>
          <w:sz w:val="72"/>
          <w:szCs w:val="72"/>
          <w:highlight w:val="none"/>
        </w:rPr>
      </w:pPr>
      <w:r>
        <w:rPr>
          <w:rFonts w:hint="eastAsia" w:ascii="宋体" w:hAnsi="宋体" w:cs="宋体"/>
          <w:b/>
          <w:bCs/>
          <w:color w:val="auto"/>
          <w:spacing w:val="140"/>
          <w:sz w:val="72"/>
          <w:szCs w:val="72"/>
          <w:highlight w:val="none"/>
        </w:rPr>
        <w:t>竞争性磋商文件</w:t>
      </w:r>
    </w:p>
    <w:p w14:paraId="35BD9C86">
      <w:pPr>
        <w:tabs>
          <w:tab w:val="left" w:pos="1069"/>
          <w:tab w:val="left" w:pos="2352"/>
        </w:tabs>
        <w:jc w:val="center"/>
        <w:rPr>
          <w:rFonts w:ascii="宋体" w:hAnsi="宋体" w:cs="宋体"/>
          <w:b/>
          <w:color w:val="auto"/>
          <w:sz w:val="36"/>
          <w:szCs w:val="36"/>
          <w:highlight w:val="none"/>
        </w:rPr>
      </w:pPr>
    </w:p>
    <w:p w14:paraId="03972095">
      <w:pPr>
        <w:tabs>
          <w:tab w:val="left" w:pos="1069"/>
          <w:tab w:val="left" w:pos="2352"/>
        </w:tabs>
        <w:jc w:val="center"/>
        <w:rPr>
          <w:rFonts w:ascii="宋体" w:hAnsi="宋体" w:cs="宋体"/>
          <w:b/>
          <w:color w:val="auto"/>
          <w:sz w:val="32"/>
          <w:szCs w:val="32"/>
          <w:highlight w:val="none"/>
        </w:rPr>
      </w:pPr>
      <w:r>
        <w:rPr>
          <w:rFonts w:hint="eastAsia" w:ascii="宋体" w:hAnsi="宋体" w:cs="宋体"/>
          <w:b/>
          <w:color w:val="auto"/>
          <w:sz w:val="32"/>
          <w:szCs w:val="32"/>
          <w:highlight w:val="none"/>
        </w:rPr>
        <w:t>（线上电子招投标）</w:t>
      </w:r>
    </w:p>
    <w:p w14:paraId="0898B0F1">
      <w:pPr>
        <w:pStyle w:val="24"/>
        <w:tabs>
          <w:tab w:val="left" w:pos="2352"/>
        </w:tabs>
        <w:ind w:left="856" w:hanging="428"/>
        <w:rPr>
          <w:color w:val="auto"/>
          <w:highlight w:val="none"/>
        </w:rPr>
      </w:pPr>
    </w:p>
    <w:tbl>
      <w:tblPr>
        <w:tblStyle w:val="31"/>
        <w:tblpPr w:leftFromText="180" w:rightFromText="180" w:vertAnchor="text" w:tblpXSpec="right" w:tblpY="1"/>
        <w:tblOverlap w:val="never"/>
        <w:tblW w:w="0" w:type="auto"/>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414"/>
        <w:gridCol w:w="6750"/>
      </w:tblGrid>
      <w:tr w14:paraId="40F7F002">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2293DDC">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采购编号</w:t>
            </w:r>
          </w:p>
        </w:tc>
        <w:tc>
          <w:tcPr>
            <w:tcW w:w="6750" w:type="dxa"/>
            <w:vAlign w:val="center"/>
          </w:tcPr>
          <w:p w14:paraId="423F71DE">
            <w:pPr>
              <w:tabs>
                <w:tab w:val="left" w:pos="1069"/>
                <w:tab w:val="left" w:pos="2352"/>
              </w:tabs>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TSCG202501004</w:t>
            </w:r>
          </w:p>
        </w:tc>
      </w:tr>
      <w:tr w14:paraId="47E16FE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880" w:hRule="atLeast"/>
        </w:trPr>
        <w:tc>
          <w:tcPr>
            <w:tcW w:w="2414" w:type="dxa"/>
            <w:vAlign w:val="center"/>
          </w:tcPr>
          <w:p w14:paraId="764C9921">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项目名称</w:t>
            </w:r>
          </w:p>
        </w:tc>
        <w:tc>
          <w:tcPr>
            <w:tcW w:w="6750" w:type="dxa"/>
            <w:vAlign w:val="center"/>
          </w:tcPr>
          <w:p w14:paraId="08B42BF4">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lang w:eastAsia="zh-CN"/>
              </w:rPr>
            </w:pPr>
            <w:r>
              <w:rPr>
                <w:rFonts w:hint="eastAsia" w:ascii="宋体" w:hAnsi="宋体" w:cs="宋体"/>
                <w:b/>
                <w:bCs/>
                <w:color w:val="auto"/>
                <w:sz w:val="30"/>
                <w:szCs w:val="30"/>
                <w:highlight w:val="none"/>
                <w:u w:val="none"/>
                <w:lang w:eastAsia="zh-CN"/>
              </w:rPr>
              <w:t>2024年泰顺县司前畲族镇黄桥村晓燕自然村上燕农田宜机化改造项目</w:t>
            </w:r>
          </w:p>
        </w:tc>
      </w:tr>
      <w:tr w14:paraId="46B45ED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90" w:hRule="atLeast"/>
        </w:trPr>
        <w:tc>
          <w:tcPr>
            <w:tcW w:w="2414" w:type="dxa"/>
            <w:vAlign w:val="center"/>
          </w:tcPr>
          <w:p w14:paraId="1053D024">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采购方式</w:t>
            </w:r>
          </w:p>
        </w:tc>
        <w:tc>
          <w:tcPr>
            <w:tcW w:w="6750" w:type="dxa"/>
            <w:vAlign w:val="center"/>
          </w:tcPr>
          <w:p w14:paraId="1C8BB19A">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rPr>
            </w:pPr>
            <w:r>
              <w:rPr>
                <w:rFonts w:hint="eastAsia" w:ascii="宋体" w:hAnsi="宋体" w:cs="宋体"/>
                <w:b/>
                <w:bCs/>
                <w:color w:val="auto"/>
                <w:sz w:val="30"/>
                <w:szCs w:val="30"/>
                <w:highlight w:val="none"/>
                <w:u w:val="none"/>
              </w:rPr>
              <w:t>竞争性磋商</w:t>
            </w:r>
          </w:p>
        </w:tc>
      </w:tr>
      <w:tr w14:paraId="2B1C9511">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38DED602">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采购单位</w:t>
            </w:r>
          </w:p>
        </w:tc>
        <w:tc>
          <w:tcPr>
            <w:tcW w:w="6750" w:type="dxa"/>
            <w:vAlign w:val="center"/>
          </w:tcPr>
          <w:p w14:paraId="78478658">
            <w:pPr>
              <w:tabs>
                <w:tab w:val="left" w:pos="1069"/>
                <w:tab w:val="left" w:pos="2352"/>
              </w:tabs>
              <w:snapToGrid w:val="0"/>
              <w:spacing w:line="500" w:lineRule="atLeas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泰顺县司前畲族人民政府</w:t>
            </w:r>
          </w:p>
        </w:tc>
      </w:tr>
      <w:tr w14:paraId="3CDE73C8">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00D969E8">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招标代理机构</w:t>
            </w:r>
          </w:p>
        </w:tc>
        <w:tc>
          <w:tcPr>
            <w:tcW w:w="6750" w:type="dxa"/>
            <w:vAlign w:val="center"/>
          </w:tcPr>
          <w:p w14:paraId="2612A075">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杭州华旗招标代理有限公司</w:t>
            </w:r>
          </w:p>
        </w:tc>
      </w:tr>
      <w:tr w14:paraId="65711F8B">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625FF86">
            <w:pPr>
              <w:tabs>
                <w:tab w:val="left" w:pos="1069"/>
                <w:tab w:val="left" w:pos="2352"/>
              </w:tabs>
              <w:rPr>
                <w:rFonts w:ascii="宋体" w:hAnsi="宋体" w:cs="宋体"/>
                <w:b/>
                <w:bCs/>
                <w:color w:val="auto"/>
                <w:sz w:val="28"/>
                <w:szCs w:val="28"/>
                <w:highlight w:val="none"/>
              </w:rPr>
            </w:pPr>
            <w:r>
              <w:rPr>
                <w:rFonts w:hint="eastAsia" w:ascii="宋体" w:hAnsi="宋体" w:cs="宋体"/>
                <w:b/>
                <w:color w:val="auto"/>
                <w:sz w:val="30"/>
                <w:szCs w:val="30"/>
                <w:highlight w:val="none"/>
              </w:rPr>
              <w:t>监督及备案机构</w:t>
            </w:r>
          </w:p>
        </w:tc>
        <w:tc>
          <w:tcPr>
            <w:tcW w:w="6750" w:type="dxa"/>
            <w:vAlign w:val="center"/>
          </w:tcPr>
          <w:p w14:paraId="4D7EBC5D">
            <w:pPr>
              <w:tabs>
                <w:tab w:val="left" w:pos="1069"/>
                <w:tab w:val="left" w:pos="2352"/>
              </w:tabs>
              <w:rPr>
                <w:rFonts w:ascii="宋体" w:hAnsi="宋体" w:cs="宋体"/>
                <w:b/>
                <w:bCs/>
                <w:color w:val="auto"/>
                <w:sz w:val="28"/>
                <w:szCs w:val="28"/>
                <w:highlight w:val="none"/>
              </w:rPr>
            </w:pPr>
            <w:bookmarkStart w:id="0" w:name="B20_同级政府采购监督管理部门"/>
            <w:r>
              <w:rPr>
                <w:rFonts w:hint="eastAsia" w:ascii="宋体" w:hAnsi="宋体" w:cs="宋体"/>
                <w:b/>
                <w:color w:val="auto"/>
                <w:sz w:val="30"/>
                <w:szCs w:val="30"/>
                <w:highlight w:val="none"/>
              </w:rPr>
              <w:t>泰顺县</w:t>
            </w:r>
            <w:bookmarkEnd w:id="0"/>
            <w:r>
              <w:rPr>
                <w:rFonts w:hint="eastAsia" w:ascii="宋体" w:hAnsi="宋体" w:cs="宋体"/>
                <w:b/>
                <w:color w:val="auto"/>
                <w:sz w:val="30"/>
                <w:szCs w:val="30"/>
                <w:highlight w:val="none"/>
              </w:rPr>
              <w:t>财政局</w:t>
            </w:r>
          </w:p>
        </w:tc>
      </w:tr>
    </w:tbl>
    <w:p w14:paraId="1D9E8D07">
      <w:pPr>
        <w:tabs>
          <w:tab w:val="left" w:pos="1069"/>
          <w:tab w:val="left" w:pos="2352"/>
        </w:tabs>
        <w:autoSpaceDE w:val="0"/>
        <w:autoSpaceDN w:val="0"/>
        <w:adjustRightInd w:val="0"/>
        <w:spacing w:line="440" w:lineRule="atLeast"/>
        <w:jc w:val="center"/>
        <w:rPr>
          <w:rFonts w:ascii="宋体" w:hAnsi="宋体" w:cs="宋体"/>
          <w:b/>
          <w:color w:val="auto"/>
          <w:sz w:val="30"/>
          <w:szCs w:val="30"/>
          <w:highlight w:val="none"/>
        </w:rPr>
      </w:pPr>
    </w:p>
    <w:p w14:paraId="623490E1">
      <w:pPr>
        <w:tabs>
          <w:tab w:val="left" w:pos="1069"/>
          <w:tab w:val="left" w:pos="2352"/>
        </w:tabs>
        <w:autoSpaceDE w:val="0"/>
        <w:autoSpaceDN w:val="0"/>
        <w:adjustRightInd w:val="0"/>
        <w:spacing w:line="440" w:lineRule="atLeast"/>
        <w:jc w:val="center"/>
        <w:rPr>
          <w:rFonts w:ascii="宋体" w:hAnsi="宋体" w:cs="宋体"/>
          <w:color w:val="auto"/>
          <w:highlight w:val="none"/>
        </w:rPr>
        <w:sectPr>
          <w:headerReference r:id="rId5" w:type="first"/>
          <w:headerReference r:id="rId3" w:type="default"/>
          <w:headerReference r:id="rId4" w:type="even"/>
          <w:footerReference r:id="rId6" w:type="even"/>
          <w:pgSz w:w="11906" w:h="16838"/>
          <w:pgMar w:top="1440" w:right="1247" w:bottom="1440" w:left="1247" w:header="851" w:footer="992" w:gutter="0"/>
          <w:pgNumType w:fmt="numberInDash"/>
          <w:cols w:space="720" w:num="1"/>
          <w:titlePg/>
          <w:docGrid w:type="linesAndChars" w:linePitch="317" w:charSpace="800"/>
        </w:sectPr>
      </w:pPr>
      <w:r>
        <w:rPr>
          <w:rFonts w:hint="eastAsia" w:ascii="宋体" w:hAnsi="宋体" w:cs="宋体"/>
          <w:b/>
          <w:color w:val="auto"/>
          <w:sz w:val="30"/>
          <w:szCs w:val="30"/>
          <w:highlight w:val="none"/>
        </w:rPr>
        <w:t>二○二四年</w:t>
      </w:r>
      <w:r>
        <w:rPr>
          <w:rFonts w:hint="eastAsia" w:ascii="宋体" w:hAnsi="宋体" w:cs="宋体"/>
          <w:b/>
          <w:color w:val="auto"/>
          <w:sz w:val="30"/>
          <w:szCs w:val="30"/>
          <w:highlight w:val="none"/>
          <w:lang w:val="en-US" w:eastAsia="zh-CN"/>
        </w:rPr>
        <w:t>十二</w:t>
      </w:r>
      <w:r>
        <w:rPr>
          <w:rFonts w:hint="eastAsia" w:ascii="宋体" w:hAnsi="宋体" w:cs="宋体"/>
          <w:b/>
          <w:color w:val="auto"/>
          <w:sz w:val="30"/>
          <w:szCs w:val="30"/>
          <w:highlight w:val="none"/>
        </w:rPr>
        <w:t>月</w:t>
      </w:r>
    </w:p>
    <w:p w14:paraId="48D3BEFB">
      <w:pPr>
        <w:tabs>
          <w:tab w:val="left" w:pos="1069"/>
          <w:tab w:val="left" w:pos="1080"/>
          <w:tab w:val="left" w:pos="2352"/>
        </w:tabs>
        <w:autoSpaceDE w:val="0"/>
        <w:autoSpaceDN w:val="0"/>
        <w:adjustRightInd w:val="0"/>
        <w:spacing w:line="500" w:lineRule="atLeast"/>
        <w:textAlignment w:val="baseline"/>
        <w:rPr>
          <w:rFonts w:ascii="宋体" w:hAnsi="宋体" w:cs="宋体"/>
          <w:b/>
          <w:bCs/>
          <w:color w:val="auto"/>
          <w:sz w:val="32"/>
          <w:szCs w:val="32"/>
          <w:highlight w:val="none"/>
          <w:lang w:val="zh-CN"/>
        </w:rPr>
      </w:pPr>
      <w:bookmarkStart w:id="1" w:name="_Toc6035_WPSOffice_Level1"/>
    </w:p>
    <w:p w14:paraId="251E3DC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p>
    <w:p w14:paraId="1003DF0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0F8308C1">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7A21BC1A">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竞争性磋商文件目录</w:t>
      </w:r>
    </w:p>
    <w:p w14:paraId="15AFD330">
      <w:pPr>
        <w:tabs>
          <w:tab w:val="left" w:pos="1069"/>
          <w:tab w:val="left" w:pos="1080"/>
          <w:tab w:val="left" w:pos="2352"/>
        </w:tabs>
        <w:autoSpaceDE w:val="0"/>
        <w:autoSpaceDN w:val="0"/>
        <w:adjustRightInd w:val="0"/>
        <w:spacing w:line="500" w:lineRule="atLeast"/>
        <w:textAlignment w:val="baseline"/>
        <w:rPr>
          <w:rFonts w:ascii="宋体" w:hAnsi="宋体" w:cs="宋体"/>
          <w:color w:val="auto"/>
          <w:sz w:val="28"/>
          <w:szCs w:val="28"/>
          <w:highlight w:val="none"/>
        </w:rPr>
      </w:pPr>
    </w:p>
    <w:p w14:paraId="5BAE2F69">
      <w:pPr>
        <w:tabs>
          <w:tab w:val="left" w:pos="1069"/>
          <w:tab w:val="left" w:pos="1080"/>
          <w:tab w:val="left" w:pos="2352"/>
        </w:tabs>
        <w:autoSpaceDE w:val="0"/>
        <w:autoSpaceDN w:val="0"/>
        <w:adjustRightInd w:val="0"/>
        <w:spacing w:line="500" w:lineRule="atLeas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采购公告....................................................2</w:t>
      </w:r>
    </w:p>
    <w:p w14:paraId="1ADE47F5">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b/>
          <w:bCs/>
          <w:color w:val="auto"/>
          <w:sz w:val="32"/>
          <w:szCs w:val="32"/>
          <w:highlight w:val="none"/>
        </w:rPr>
      </w:pPr>
      <w:r>
        <w:rPr>
          <w:rFonts w:hint="eastAsia" w:ascii="宋体" w:hAnsi="宋体" w:cs="宋体"/>
          <w:color w:val="auto"/>
          <w:sz w:val="28"/>
          <w:szCs w:val="28"/>
          <w:highlight w:val="none"/>
        </w:rPr>
        <w:t>第一部分、投标邀请函（投标须知前附表）......................5</w:t>
      </w:r>
    </w:p>
    <w:p w14:paraId="72AF48D4">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第二部分、采购内容及要求....................................8</w:t>
      </w:r>
    </w:p>
    <w:p w14:paraId="18004F35">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第三部分、供应商须知.......................................1</w:t>
      </w:r>
      <w:r>
        <w:rPr>
          <w:rFonts w:hint="eastAsia" w:ascii="宋体" w:hAnsi="宋体" w:cs="宋体"/>
          <w:color w:val="auto"/>
          <w:sz w:val="28"/>
          <w:szCs w:val="28"/>
          <w:highlight w:val="none"/>
          <w:lang w:val="en-US" w:eastAsia="zh-CN"/>
        </w:rPr>
        <w:t>2</w:t>
      </w:r>
    </w:p>
    <w:p w14:paraId="53B29C28">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第四部分、政府采购政策功能相关说明.........................2</w:t>
      </w:r>
      <w:r>
        <w:rPr>
          <w:rFonts w:hint="eastAsia" w:ascii="宋体" w:hAnsi="宋体" w:cs="宋体"/>
          <w:color w:val="auto"/>
          <w:sz w:val="28"/>
          <w:szCs w:val="28"/>
          <w:highlight w:val="none"/>
          <w:lang w:val="en-US" w:eastAsia="zh-CN"/>
        </w:rPr>
        <w:t>2</w:t>
      </w:r>
    </w:p>
    <w:p w14:paraId="115ECEA0">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第五部分、合同格式.........................................2</w:t>
      </w:r>
      <w:r>
        <w:rPr>
          <w:rFonts w:hint="eastAsia" w:ascii="宋体" w:hAnsi="宋体" w:cs="宋体"/>
          <w:color w:val="auto"/>
          <w:sz w:val="28"/>
          <w:szCs w:val="28"/>
          <w:highlight w:val="none"/>
          <w:lang w:val="en-US" w:eastAsia="zh-CN"/>
        </w:rPr>
        <w:t>7</w:t>
      </w:r>
    </w:p>
    <w:p w14:paraId="2666E5D7">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第六部分、投标（响应）文件格式.............................</w:t>
      </w:r>
      <w:r>
        <w:rPr>
          <w:rFonts w:hint="eastAsia" w:ascii="宋体" w:hAnsi="宋体" w:cs="宋体"/>
          <w:color w:val="auto"/>
          <w:sz w:val="28"/>
          <w:szCs w:val="28"/>
          <w:highlight w:val="none"/>
          <w:lang w:val="en-US" w:eastAsia="zh-CN"/>
        </w:rPr>
        <w:t>47</w:t>
      </w:r>
    </w:p>
    <w:p w14:paraId="68FA9460">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第七部分、评标办法.........................................</w:t>
      </w:r>
      <w:r>
        <w:rPr>
          <w:rFonts w:hint="eastAsia" w:ascii="宋体" w:hAnsi="宋体" w:cs="宋体"/>
          <w:color w:val="auto"/>
          <w:sz w:val="28"/>
          <w:szCs w:val="28"/>
          <w:highlight w:val="none"/>
          <w:lang w:val="en-US" w:eastAsia="zh-CN"/>
        </w:rPr>
        <w:t>61</w:t>
      </w:r>
    </w:p>
    <w:p w14:paraId="50F3F25D">
      <w:pPr>
        <w:pStyle w:val="21"/>
        <w:tabs>
          <w:tab w:val="left" w:pos="2352"/>
        </w:tabs>
        <w:rPr>
          <w:color w:val="auto"/>
          <w:highlight w:val="none"/>
        </w:rPr>
      </w:pPr>
    </w:p>
    <w:p w14:paraId="2E147E0E">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01E01CDE">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ascii="宋体" w:hAnsi="宋体" w:cs="宋体"/>
          <w:b/>
          <w:bCs/>
          <w:color w:val="auto"/>
          <w:sz w:val="24"/>
          <w:szCs w:val="24"/>
          <w:highlight w:val="none"/>
          <w:u w:val="single"/>
        </w:rPr>
      </w:pPr>
      <w:r>
        <w:rPr>
          <w:rFonts w:hint="eastAsia" w:ascii="宋体" w:hAnsi="宋体" w:cs="宋体"/>
          <w:color w:val="auto"/>
          <w:sz w:val="28"/>
          <w:szCs w:val="28"/>
          <w:highlight w:val="none"/>
        </w:rPr>
        <w:t xml:space="preserve">    </w:t>
      </w:r>
      <w:r>
        <w:rPr>
          <w:rFonts w:hint="eastAsia" w:ascii="宋体" w:hAnsi="宋体" w:cs="宋体"/>
          <w:b/>
          <w:bCs/>
          <w:color w:val="auto"/>
          <w:sz w:val="24"/>
          <w:szCs w:val="24"/>
          <w:highlight w:val="none"/>
          <w:u w:val="single"/>
        </w:rPr>
        <w:t>注：竞争性磋商文件中标“▲”号的为招标的实质性要求和条件，着重提醒各供应商必须响应。各供应商必须认真阅读和理解竞争性磋商文件中的每一个条款及要求，因误读竞争性磋商文件而造成的后果，采购人概不负责。</w:t>
      </w:r>
    </w:p>
    <w:p w14:paraId="6EC5AD57">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21CD82A0">
      <w:pPr>
        <w:pStyle w:val="21"/>
        <w:tabs>
          <w:tab w:val="left" w:pos="2352"/>
        </w:tabs>
        <w:rPr>
          <w:color w:val="auto"/>
          <w:highlight w:val="none"/>
        </w:rPr>
      </w:pPr>
    </w:p>
    <w:p w14:paraId="0A50FEFB">
      <w:pPr>
        <w:rPr>
          <w:color w:val="auto"/>
          <w:highlight w:val="none"/>
        </w:rPr>
      </w:pPr>
    </w:p>
    <w:p w14:paraId="41FAFF80">
      <w:pPr>
        <w:pStyle w:val="2"/>
        <w:widowControl/>
        <w:spacing w:before="156" w:after="156" w:line="440" w:lineRule="exact"/>
        <w:jc w:val="center"/>
        <w:rPr>
          <w:rFonts w:hint="eastAsia" w:ascii="宋体" w:hAnsi="宋体" w:eastAsia="宋体" w:cs="宋体"/>
          <w:color w:val="auto"/>
          <w:highlight w:val="none"/>
        </w:rPr>
      </w:pPr>
    </w:p>
    <w:p w14:paraId="274A202F">
      <w:pPr>
        <w:pStyle w:val="2"/>
        <w:widowControl/>
        <w:spacing w:before="156" w:after="156" w:line="440" w:lineRule="exact"/>
        <w:jc w:val="center"/>
        <w:rPr>
          <w:rFonts w:hint="eastAsia" w:ascii="宋体" w:hAnsi="宋体" w:eastAsia="宋体" w:cs="宋体"/>
          <w:color w:val="auto"/>
          <w:highlight w:val="none"/>
        </w:rPr>
      </w:pPr>
    </w:p>
    <w:p w14:paraId="0BEC8CFB">
      <w:pPr>
        <w:pStyle w:val="2"/>
        <w:widowControl/>
        <w:spacing w:before="156" w:after="156" w:line="440" w:lineRule="exact"/>
        <w:jc w:val="center"/>
        <w:rPr>
          <w:rFonts w:ascii="宋体" w:hAnsi="宋体" w:eastAsia="宋体" w:cs="宋体"/>
          <w:color w:val="auto"/>
          <w:highlight w:val="none"/>
        </w:rPr>
      </w:pPr>
      <w:r>
        <w:rPr>
          <w:rFonts w:hint="eastAsia" w:ascii="宋体" w:hAnsi="宋体" w:eastAsia="宋体" w:cs="宋体"/>
          <w:color w:val="auto"/>
          <w:highlight w:val="none"/>
        </w:rPr>
        <w:t>关于</w:t>
      </w:r>
      <w:r>
        <w:rPr>
          <w:rFonts w:hint="eastAsia" w:ascii="宋体" w:hAnsi="宋体" w:eastAsia="宋体" w:cs="宋体"/>
          <w:color w:val="auto"/>
          <w:highlight w:val="none"/>
          <w:lang w:eastAsia="zh-CN"/>
        </w:rPr>
        <w:t>2024年泰顺县司前畲族镇黄桥村晓燕自然村上燕农田宜机化改造项目</w:t>
      </w:r>
      <w:r>
        <w:rPr>
          <w:rFonts w:hint="eastAsia" w:ascii="宋体" w:hAnsi="宋体" w:eastAsia="宋体" w:cs="宋体"/>
          <w:color w:val="auto"/>
          <w:highlight w:val="none"/>
        </w:rPr>
        <w:t>的竞争性磋商公告</w:t>
      </w:r>
    </w:p>
    <w:tbl>
      <w:tblPr>
        <w:tblStyle w:val="32"/>
        <w:tblpPr w:leftFromText="180" w:rightFromText="180" w:vertAnchor="text" w:tblpX="-132" w:tblpY="158"/>
        <w:tblOverlap w:val="never"/>
        <w:tblW w:w="51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9"/>
      </w:tblGrid>
      <w:tr w14:paraId="54ED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000" w:type="pct"/>
          </w:tcPr>
          <w:p w14:paraId="0338C9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项目概况</w:t>
            </w:r>
          </w:p>
          <w:p w14:paraId="2CFB5F77">
            <w:pPr>
              <w:pStyle w:val="27"/>
              <w:spacing w:after="156"/>
              <w:ind w:firstLine="440" w:firstLineChars="200"/>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lang w:eastAsia="zh-CN"/>
              </w:rPr>
              <w:t>2024年泰顺县司前畲族镇黄桥村晓燕自然村上燕农田宜机化改造项目</w:t>
            </w:r>
            <w:r>
              <w:rPr>
                <w:rFonts w:hint="eastAsia" w:ascii="仿宋" w:hAnsi="仿宋" w:eastAsia="仿宋" w:cs="仿宋"/>
                <w:color w:val="auto"/>
                <w:sz w:val="22"/>
                <w:highlight w:val="none"/>
                <w:shd w:val="clear" w:color="auto" w:fill="FFFFFF"/>
              </w:rPr>
              <w:t>采购项目的潜在供应商应在政采云平台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获取（下载）采购文件，并于</w:t>
            </w:r>
            <w:r>
              <w:rPr>
                <w:rFonts w:hint="eastAsia" w:ascii="仿宋" w:hAnsi="仿宋" w:eastAsia="仿宋" w:cs="仿宋"/>
                <w:color w:val="auto"/>
                <w:sz w:val="22"/>
                <w:highlight w:val="none"/>
                <w:shd w:val="clear" w:color="auto" w:fill="FFFFFF"/>
                <w:lang w:eastAsia="zh-CN"/>
              </w:rPr>
              <w:t>2025年01月22 日 15:00</w:t>
            </w:r>
            <w:r>
              <w:rPr>
                <w:rFonts w:hint="eastAsia" w:ascii="仿宋" w:hAnsi="仿宋" w:eastAsia="仿宋" w:cs="仿宋"/>
                <w:color w:val="auto"/>
                <w:sz w:val="22"/>
                <w:highlight w:val="none"/>
                <w:shd w:val="clear" w:color="auto" w:fill="FFFFFF"/>
              </w:rPr>
              <w:t>（北京时间）前提交（上传）响应文件。</w:t>
            </w:r>
          </w:p>
        </w:tc>
      </w:tr>
    </w:tbl>
    <w:p w14:paraId="341EDC0D">
      <w:pPr>
        <w:pStyle w:val="27"/>
        <w:spacing w:after="156"/>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w:t>
      </w:r>
    </w:p>
    <w:p w14:paraId="2D9BE3C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一、项目基本情况</w:t>
      </w:r>
    </w:p>
    <w:p w14:paraId="52750E3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项目编号：</w:t>
      </w:r>
      <w:r>
        <w:rPr>
          <w:rFonts w:hint="eastAsia" w:ascii="仿宋" w:hAnsi="仿宋" w:eastAsia="仿宋" w:cs="仿宋"/>
          <w:color w:val="auto"/>
          <w:sz w:val="22"/>
          <w:highlight w:val="none"/>
          <w:shd w:val="clear" w:color="auto" w:fill="FFFFFF"/>
          <w:lang w:eastAsia="zh-CN"/>
        </w:rPr>
        <w:t>TSCG202501004</w:t>
      </w:r>
      <w:r>
        <w:rPr>
          <w:rFonts w:hint="eastAsia" w:ascii="仿宋" w:hAnsi="仿宋" w:eastAsia="仿宋" w:cs="仿宋"/>
          <w:color w:val="auto"/>
          <w:sz w:val="22"/>
          <w:highlight w:val="none"/>
          <w:shd w:val="clear" w:color="auto" w:fill="FFFFFF"/>
        </w:rPr>
        <w:t> </w:t>
      </w:r>
    </w:p>
    <w:p w14:paraId="176D3604">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项目名称：</w:t>
      </w:r>
      <w:r>
        <w:rPr>
          <w:rFonts w:hint="eastAsia" w:ascii="仿宋" w:hAnsi="仿宋" w:eastAsia="仿宋" w:cs="仿宋"/>
          <w:color w:val="auto"/>
          <w:sz w:val="22"/>
          <w:highlight w:val="none"/>
          <w:shd w:val="clear" w:color="auto" w:fill="FFFFFF"/>
          <w:lang w:eastAsia="zh-CN"/>
        </w:rPr>
        <w:t>2024年泰顺县司前畲族镇黄桥村晓燕自然村上燕农田宜机化改造项目</w:t>
      </w:r>
      <w:r>
        <w:rPr>
          <w:rFonts w:hint="eastAsia" w:ascii="仿宋" w:hAnsi="仿宋" w:eastAsia="仿宋" w:cs="仿宋"/>
          <w:color w:val="auto"/>
          <w:sz w:val="22"/>
          <w:highlight w:val="none"/>
          <w:shd w:val="clear" w:color="auto" w:fill="FFFFFF"/>
        </w:rPr>
        <w:t> </w:t>
      </w:r>
    </w:p>
    <w:p w14:paraId="327EC9A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采购方式：竞争性磋商 </w:t>
      </w:r>
    </w:p>
    <w:p w14:paraId="72C3A03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预算金额（元）：</w:t>
      </w:r>
      <w:r>
        <w:rPr>
          <w:rFonts w:hint="eastAsia" w:ascii="仿宋" w:hAnsi="仿宋" w:eastAsia="仿宋" w:cs="仿宋"/>
          <w:color w:val="auto"/>
          <w:sz w:val="22"/>
          <w:highlight w:val="none"/>
          <w:shd w:val="clear" w:color="auto" w:fill="FFFFFF"/>
          <w:lang w:eastAsia="zh-CN"/>
        </w:rPr>
        <w:t>3327162</w:t>
      </w:r>
      <w:r>
        <w:rPr>
          <w:rFonts w:hint="eastAsia" w:ascii="仿宋" w:hAnsi="仿宋" w:eastAsia="仿宋" w:cs="仿宋"/>
          <w:color w:val="auto"/>
          <w:sz w:val="22"/>
          <w:highlight w:val="none"/>
          <w:shd w:val="clear" w:color="auto" w:fill="FFFFFF"/>
        </w:rPr>
        <w:t>  </w:t>
      </w:r>
    </w:p>
    <w:p w14:paraId="096EC95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最高限价（元）：</w:t>
      </w:r>
      <w:r>
        <w:rPr>
          <w:rFonts w:hint="eastAsia" w:ascii="仿宋" w:hAnsi="仿宋" w:eastAsia="仿宋" w:cs="仿宋"/>
          <w:color w:val="auto"/>
          <w:sz w:val="22"/>
          <w:highlight w:val="none"/>
          <w:shd w:val="clear" w:color="auto" w:fill="FFFFFF"/>
          <w:lang w:eastAsia="zh-CN"/>
        </w:rPr>
        <w:t>3327162</w:t>
      </w:r>
      <w:r>
        <w:rPr>
          <w:rFonts w:hint="eastAsia" w:ascii="仿宋" w:hAnsi="仿宋" w:eastAsia="仿宋" w:cs="仿宋"/>
          <w:color w:val="auto"/>
          <w:sz w:val="22"/>
          <w:highlight w:val="none"/>
          <w:shd w:val="clear" w:color="auto" w:fill="FFFFFF"/>
        </w:rPr>
        <w:t>  </w:t>
      </w:r>
    </w:p>
    <w:p w14:paraId="14381B1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采购需求：</w:t>
      </w:r>
    </w:p>
    <w:p w14:paraId="7F299FFA">
      <w:pPr>
        <w:widowControl/>
        <w:shd w:val="clear" w:color="auto" w:fill="FFFFFF"/>
        <w:spacing w:line="150" w:lineRule="atLeast"/>
        <w:jc w:val="left"/>
        <w:rPr>
          <w:rFonts w:ascii="仿宋" w:hAnsi="仿宋" w:eastAsia="仿宋" w:cs="仿宋"/>
          <w:color w:val="auto"/>
          <w:kern w:val="0"/>
          <w:sz w:val="22"/>
          <w:highlight w:val="none"/>
          <w:shd w:val="clear" w:color="auto" w:fill="FFFFFF"/>
        </w:rPr>
      </w:pPr>
      <w:r>
        <w:rPr>
          <w:rFonts w:hint="eastAsia" w:ascii="仿宋" w:hAnsi="仿宋" w:eastAsia="仿宋" w:cs="仿宋"/>
          <w:color w:val="auto"/>
          <w:kern w:val="0"/>
          <w:sz w:val="22"/>
          <w:highlight w:val="none"/>
          <w:shd w:val="clear" w:color="auto" w:fill="FFFFFF"/>
        </w:rPr>
        <w:t>         </w:t>
      </w:r>
    </w:p>
    <w:p w14:paraId="1D3CB83B">
      <w:pPr>
        <w:widowControl/>
        <w:shd w:val="clear" w:color="auto" w:fill="FFFFFF"/>
        <w:spacing w:line="150" w:lineRule="atLeast"/>
        <w:jc w:val="left"/>
        <w:rPr>
          <w:rFonts w:ascii="仿宋" w:hAnsi="仿宋" w:eastAsia="仿宋" w:cs="仿宋"/>
          <w:color w:val="auto"/>
          <w:sz w:val="22"/>
          <w:highlight w:val="none"/>
        </w:rPr>
      </w:pPr>
      <w:r>
        <w:rPr>
          <w:rFonts w:hint="eastAsia" w:ascii="仿宋" w:hAnsi="仿宋" w:eastAsia="仿宋" w:cs="仿宋"/>
          <w:color w:val="auto"/>
          <w:kern w:val="0"/>
          <w:sz w:val="22"/>
          <w:highlight w:val="none"/>
          <w:shd w:val="clear" w:color="auto" w:fill="FFFFFF"/>
        </w:rPr>
        <w:t>   数量：不限       </w:t>
      </w:r>
    </w:p>
    <w:p w14:paraId="6E10DF5B">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预算金额（元）：</w:t>
      </w:r>
      <w:r>
        <w:rPr>
          <w:rFonts w:hint="eastAsia" w:ascii="仿宋" w:hAnsi="仿宋" w:eastAsia="仿宋" w:cs="仿宋"/>
          <w:color w:val="auto"/>
          <w:sz w:val="22"/>
          <w:highlight w:val="none"/>
          <w:shd w:val="clear" w:color="auto" w:fill="FFFFFF"/>
          <w:lang w:eastAsia="zh-CN"/>
        </w:rPr>
        <w:t>3327162</w:t>
      </w:r>
    </w:p>
    <w:p w14:paraId="47AC213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单位：项 </w:t>
      </w:r>
    </w:p>
    <w:p w14:paraId="6B324725">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简要规格描述：</w:t>
      </w:r>
      <w:r>
        <w:rPr>
          <w:rFonts w:hint="eastAsia" w:ascii="仿宋" w:hAnsi="仿宋" w:eastAsia="仿宋" w:cs="仿宋"/>
          <w:color w:val="auto"/>
          <w:sz w:val="22"/>
          <w:highlight w:val="none"/>
          <w:shd w:val="clear" w:color="auto" w:fill="FFFFFF"/>
          <w:lang w:eastAsia="zh-CN"/>
        </w:rPr>
        <w:t>2024年泰顺县司前畲族镇黄桥村晓燕自然村上燕农田宜机化改造项目，以农村土地宜机化改造及项目运营方式实施。</w:t>
      </w:r>
    </w:p>
    <w:p w14:paraId="4AF7437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备注： </w:t>
      </w:r>
    </w:p>
    <w:p w14:paraId="088847A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合同履约期限：标项 1，按采购文件规定。  </w:t>
      </w:r>
    </w:p>
    <w:p w14:paraId="28F8C4E4">
      <w:pPr>
        <w:pStyle w:val="27"/>
        <w:widowControl/>
        <w:spacing w:before="38" w:beforeAutospacing="0" w:after="38" w:afterAutospacing="0"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本项目接受联合体投标</w:t>
      </w:r>
      <w:r>
        <w:rPr>
          <w:rFonts w:hint="eastAsia" w:ascii="仿宋" w:hAnsi="仿宋" w:eastAsia="仿宋" w:cs="仿宋"/>
          <w:color w:val="auto"/>
          <w:sz w:val="22"/>
          <w:highlight w:val="none"/>
          <w:shd w:val="clear" w:color="auto" w:fill="FFFFFF"/>
          <w:lang w:eastAsia="zh-CN"/>
        </w:rPr>
        <w:t>。</w:t>
      </w:r>
    </w:p>
    <w:p w14:paraId="3712E126">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二、申请人的资格要求：</w:t>
      </w:r>
    </w:p>
    <w:p w14:paraId="770716D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满足《中华人民共和国政府采购法》第二十二条规定；未被“信用中国”（www.creditchina.gov.cn)、中国政府采购网（www.ccgp.gov.cn）列入失信被执行人、重大税收违法案件当事人名单、政府采购严重违法失信行为记录名单。</w:t>
      </w:r>
    </w:p>
    <w:p w14:paraId="0DA1BBAE">
      <w:pPr>
        <w:pStyle w:val="27"/>
        <w:spacing w:after="156" w:line="150" w:lineRule="atLeast"/>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2.落实政府采购政策需满足的资格要求：标项1：无。 </w:t>
      </w:r>
    </w:p>
    <w:p w14:paraId="70459994">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3.本项目的特定资格要求：</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1</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投标供应商须</w:t>
      </w:r>
      <w:r>
        <w:rPr>
          <w:rFonts w:hint="eastAsia" w:ascii="仿宋" w:hAnsi="仿宋" w:eastAsia="仿宋" w:cs="仿宋"/>
          <w:color w:val="auto"/>
          <w:sz w:val="22"/>
          <w:highlight w:val="none"/>
          <w:shd w:val="clear" w:color="auto" w:fill="FFFFFF"/>
        </w:rPr>
        <w:t>具有项目运营或投资能力</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（2）投标供应商须具有水利水电工程施工总承包三级及以上资质或市政公用工程施工总承包三级及以上资质，具有有效的企业《安全生产许可证》。</w:t>
      </w:r>
    </w:p>
    <w:p w14:paraId="28795B09">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本项目接受联合体投标</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lang w:val="en-US" w:eastAsia="zh-CN"/>
        </w:rPr>
        <w:t>（1）组成联合体的成员不得超过2家；（2）出具联合投标协议书（其中运营服务单位须作为牵头人）；（3）联合体各方不得再单独参加或者与其他供应商另外组成联合体参加同一合同项下的采购活动</w:t>
      </w:r>
      <w:r>
        <w:rPr>
          <w:rFonts w:hint="eastAsia" w:ascii="仿宋" w:hAnsi="仿宋" w:eastAsia="仿宋" w:cs="仿宋"/>
          <w:color w:val="auto"/>
          <w:sz w:val="22"/>
          <w:highlight w:val="none"/>
        </w:rPr>
        <w:t>。</w:t>
      </w:r>
      <w:r>
        <w:rPr>
          <w:rFonts w:hint="eastAsia" w:ascii="仿宋" w:hAnsi="仿宋" w:eastAsia="仿宋" w:cs="仿宋"/>
          <w:color w:val="auto"/>
          <w:sz w:val="22"/>
          <w:highlight w:val="none"/>
          <w:shd w:val="clear" w:color="auto" w:fill="FFFFFF"/>
        </w:rPr>
        <w:t> </w:t>
      </w:r>
    </w:p>
    <w:p w14:paraId="10A8CD32">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三、获取（下载）采购文件</w:t>
      </w:r>
    </w:p>
    <w:p w14:paraId="0D85FBF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时间：/至</w:t>
      </w:r>
      <w:r>
        <w:rPr>
          <w:rFonts w:hint="eastAsia" w:ascii="仿宋" w:hAnsi="仿宋" w:eastAsia="仿宋" w:cs="仿宋"/>
          <w:color w:val="auto"/>
          <w:sz w:val="22"/>
          <w:highlight w:val="none"/>
          <w:shd w:val="clear" w:color="auto" w:fill="FFFFFF"/>
          <w:lang w:eastAsia="zh-CN"/>
        </w:rPr>
        <w:t>2025年01月</w:t>
      </w:r>
      <w:r>
        <w:rPr>
          <w:rFonts w:hint="eastAsia" w:ascii="仿宋" w:hAnsi="仿宋" w:eastAsia="仿宋" w:cs="仿宋"/>
          <w:color w:val="auto"/>
          <w:sz w:val="22"/>
          <w:highlight w:val="none"/>
          <w:shd w:val="clear" w:color="auto" w:fill="FFFFFF"/>
          <w:lang w:val="en-US" w:eastAsia="zh-CN"/>
        </w:rPr>
        <w:t>22</w:t>
      </w:r>
      <w:r>
        <w:rPr>
          <w:rFonts w:hint="eastAsia" w:ascii="仿宋" w:hAnsi="仿宋" w:eastAsia="仿宋" w:cs="仿宋"/>
          <w:color w:val="auto"/>
          <w:sz w:val="22"/>
          <w:highlight w:val="none"/>
          <w:shd w:val="clear" w:color="auto" w:fill="FFFFFF"/>
          <w:lang w:eastAsia="zh-CN"/>
        </w:rPr>
        <w:t xml:space="preserve"> 日</w:t>
      </w:r>
      <w:r>
        <w:rPr>
          <w:rFonts w:hint="eastAsia" w:ascii="仿宋" w:hAnsi="仿宋" w:eastAsia="仿宋" w:cs="仿宋"/>
          <w:color w:val="auto"/>
          <w:sz w:val="22"/>
          <w:highlight w:val="none"/>
          <w:shd w:val="clear" w:color="auto" w:fill="FFFFFF"/>
        </w:rPr>
        <w:t>，每天上午00:00至12:00，下午12:00至23:59（北京时间，线上获取法定节假日均可，线下获取文件法定节假日除外）</w:t>
      </w:r>
    </w:p>
    <w:p w14:paraId="15096CD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 </w:t>
      </w:r>
    </w:p>
    <w:p w14:paraId="61D08A4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方式：供应商登录政采云平台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在线申请获取采购文件（进入“项目采购”应用，在获取采购文件菜单中选择项目，申请获取采购文件） </w:t>
      </w:r>
    </w:p>
    <w:p w14:paraId="10C2BF0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售价（元）：0 </w:t>
      </w:r>
    </w:p>
    <w:p w14:paraId="6A5EBAE4">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四、响应文件提交（上传）</w:t>
      </w:r>
      <w:r>
        <w:rPr>
          <w:rFonts w:hint="eastAsia" w:ascii="仿宋" w:hAnsi="仿宋" w:eastAsia="仿宋" w:cs="仿宋"/>
          <w:color w:val="auto"/>
          <w:sz w:val="22"/>
          <w:highlight w:val="none"/>
          <w:shd w:val="clear" w:color="auto" w:fill="FFFFFF"/>
        </w:rPr>
        <w:t> </w:t>
      </w:r>
    </w:p>
    <w:p w14:paraId="33AA766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截止时间：</w:t>
      </w:r>
      <w:r>
        <w:rPr>
          <w:rFonts w:hint="eastAsia" w:ascii="仿宋" w:hAnsi="仿宋" w:eastAsia="仿宋" w:cs="仿宋"/>
          <w:color w:val="auto"/>
          <w:sz w:val="22"/>
          <w:highlight w:val="none"/>
          <w:shd w:val="clear" w:color="auto" w:fill="FFFFFF"/>
          <w:lang w:eastAsia="zh-CN"/>
        </w:rPr>
        <w:t>2025年01月22 日 15:00</w:t>
      </w:r>
      <w:r>
        <w:rPr>
          <w:rFonts w:hint="eastAsia" w:ascii="仿宋" w:hAnsi="仿宋" w:eastAsia="仿宋" w:cs="仿宋"/>
          <w:color w:val="auto"/>
          <w:sz w:val="22"/>
          <w:highlight w:val="none"/>
          <w:shd w:val="clear" w:color="auto" w:fill="FFFFFF"/>
        </w:rPr>
        <w:t>（北京时间）</w:t>
      </w:r>
    </w:p>
    <w:p w14:paraId="7E82A7C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地点（网址）：“政府采购云平台（http://zfcg.czt.zj.gov.cn/）”在线递交 </w:t>
      </w:r>
    </w:p>
    <w:p w14:paraId="6CD44919">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五、响应文件开启</w:t>
      </w:r>
      <w:r>
        <w:rPr>
          <w:rFonts w:hint="eastAsia" w:ascii="仿宋" w:hAnsi="仿宋" w:eastAsia="仿宋" w:cs="仿宋"/>
          <w:color w:val="auto"/>
          <w:sz w:val="22"/>
          <w:highlight w:val="none"/>
          <w:shd w:val="clear" w:color="auto" w:fill="FFFFFF"/>
        </w:rPr>
        <w:t> </w:t>
      </w:r>
    </w:p>
    <w:p w14:paraId="72F185B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开启时间：</w:t>
      </w:r>
      <w:r>
        <w:rPr>
          <w:rFonts w:hint="eastAsia" w:ascii="仿宋" w:hAnsi="仿宋" w:eastAsia="仿宋" w:cs="仿宋"/>
          <w:color w:val="auto"/>
          <w:sz w:val="22"/>
          <w:highlight w:val="none"/>
          <w:shd w:val="clear" w:color="auto" w:fill="FFFFFF"/>
          <w:lang w:eastAsia="zh-CN"/>
        </w:rPr>
        <w:t>2025年01月22 日 15:00</w:t>
      </w:r>
      <w:r>
        <w:rPr>
          <w:rFonts w:hint="eastAsia" w:ascii="仿宋" w:hAnsi="仿宋" w:eastAsia="仿宋" w:cs="仿宋"/>
          <w:color w:val="auto"/>
          <w:sz w:val="22"/>
          <w:highlight w:val="none"/>
          <w:shd w:val="clear" w:color="auto" w:fill="FFFFFF"/>
        </w:rPr>
        <w:t> （北京时间）</w:t>
      </w:r>
    </w:p>
    <w:p w14:paraId="483564B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地点（网址）：“政府采购云平台（http://zfcg.czt.zj.gov.cn/）”在线开标 </w:t>
      </w:r>
    </w:p>
    <w:p w14:paraId="04B5D04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六、公告期限</w:t>
      </w:r>
    </w:p>
    <w:p w14:paraId="07E896F5">
      <w:pPr>
        <w:pStyle w:val="27"/>
        <w:shd w:val="clear" w:color="auto" w:fill="FFFFFF"/>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自本公告发布之日起3个工作日。</w:t>
      </w:r>
    </w:p>
    <w:p w14:paraId="501E3243">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七、其他补充事宜</w:t>
      </w:r>
      <w:r>
        <w:rPr>
          <w:rFonts w:hint="eastAsia" w:ascii="仿宋" w:hAnsi="仿宋" w:eastAsia="仿宋" w:cs="仿宋"/>
          <w:color w:val="auto"/>
          <w:sz w:val="22"/>
          <w:highlight w:val="none"/>
          <w:shd w:val="clear" w:color="auto" w:fill="FFFFFF"/>
        </w:rPr>
        <w:t> </w:t>
      </w:r>
    </w:p>
    <w:p w14:paraId="67C139CD">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54B8E2C">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1C27CD4D">
      <w:pPr>
        <w:pStyle w:val="27"/>
        <w:shd w:val="clear" w:color="auto" w:fill="FFFFFF"/>
        <w:spacing w:after="156" w:line="315" w:lineRule="atLeast"/>
        <w:ind w:firstLine="42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3.其他事项：/</w:t>
      </w:r>
    </w:p>
    <w:p w14:paraId="17A3BF5D">
      <w:pPr>
        <w:pStyle w:val="27"/>
        <w:shd w:val="clear" w:color="auto" w:fill="FFFFFF"/>
        <w:spacing w:before="128" w:after="156" w:line="240"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八、凡对本次招标提出询问、质疑、投诉，请按以下方式联系</w:t>
      </w:r>
    </w:p>
    <w:p w14:paraId="154A5CC7">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1.采购人信息</w:t>
      </w:r>
    </w:p>
    <w:p w14:paraId="0FE34B69">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名    称：</w:t>
      </w:r>
      <w:r>
        <w:rPr>
          <w:rFonts w:hint="eastAsia" w:ascii="仿宋" w:hAnsi="仿宋" w:eastAsia="仿宋" w:cs="仿宋"/>
          <w:color w:val="auto"/>
          <w:sz w:val="22"/>
          <w:highlight w:val="none"/>
          <w:shd w:val="clear" w:color="auto" w:fill="FFFFFF"/>
          <w:lang w:eastAsia="zh-CN"/>
        </w:rPr>
        <w:t>泰顺县司前畲族人民政府</w:t>
      </w:r>
      <w:r>
        <w:rPr>
          <w:rFonts w:hint="eastAsia" w:ascii="仿宋" w:hAnsi="仿宋" w:eastAsia="仿宋" w:cs="仿宋"/>
          <w:color w:val="auto"/>
          <w:sz w:val="22"/>
          <w:highlight w:val="none"/>
          <w:shd w:val="clear" w:color="auto" w:fill="FFFFFF"/>
        </w:rPr>
        <w:t> </w:t>
      </w:r>
    </w:p>
    <w:p w14:paraId="48F2FADA">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地    址：温州</w:t>
      </w:r>
      <w:r>
        <w:rPr>
          <w:rFonts w:hint="eastAsia" w:ascii="仿宋" w:hAnsi="仿宋" w:eastAsia="仿宋" w:cs="仿宋"/>
          <w:color w:val="auto"/>
          <w:sz w:val="22"/>
          <w:highlight w:val="none"/>
          <w:shd w:val="clear" w:color="auto" w:fill="FFFFFF"/>
          <w:lang w:val="en-US" w:eastAsia="zh-CN"/>
        </w:rPr>
        <w:t>市</w:t>
      </w:r>
      <w:r>
        <w:rPr>
          <w:rFonts w:hint="eastAsia" w:ascii="仿宋" w:hAnsi="仿宋" w:eastAsia="仿宋" w:cs="仿宋"/>
          <w:color w:val="auto"/>
          <w:sz w:val="22"/>
          <w:highlight w:val="none"/>
          <w:shd w:val="clear" w:color="auto" w:fill="FFFFFF"/>
        </w:rPr>
        <w:t>泰顺县</w:t>
      </w:r>
      <w:r>
        <w:rPr>
          <w:rFonts w:hint="eastAsia" w:ascii="仿宋" w:hAnsi="仿宋" w:eastAsia="仿宋" w:cs="仿宋"/>
          <w:color w:val="auto"/>
          <w:sz w:val="22"/>
          <w:highlight w:val="none"/>
          <w:shd w:val="clear" w:color="auto" w:fill="FFFFFF"/>
          <w:lang w:val="en-US" w:eastAsia="zh-CN"/>
        </w:rPr>
        <w:t>司前畲族镇</w:t>
      </w:r>
      <w:r>
        <w:rPr>
          <w:rFonts w:hint="eastAsia" w:ascii="仿宋" w:hAnsi="仿宋" w:eastAsia="仿宋" w:cs="仿宋"/>
          <w:color w:val="auto"/>
          <w:sz w:val="22"/>
          <w:highlight w:val="none"/>
          <w:shd w:val="clear" w:color="auto" w:fill="FFFFFF"/>
        </w:rPr>
        <w:t>新北振兴路17号</w:t>
      </w:r>
    </w:p>
    <w:p w14:paraId="0485EF57">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传 真：</w:t>
      </w:r>
    </w:p>
    <w:p w14:paraId="62C80D92">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项目联系人（询问）：</w:t>
      </w:r>
      <w:r>
        <w:rPr>
          <w:rFonts w:hint="eastAsia" w:ascii="仿宋" w:hAnsi="仿宋" w:eastAsia="仿宋" w:cs="仿宋"/>
          <w:color w:val="auto"/>
          <w:sz w:val="22"/>
          <w:highlight w:val="none"/>
          <w:shd w:val="clear" w:color="auto" w:fill="FFFFFF"/>
          <w:lang w:val="en-US" w:eastAsia="zh-CN"/>
        </w:rPr>
        <w:t>朱</w:t>
      </w:r>
      <w:r>
        <w:rPr>
          <w:rFonts w:hint="eastAsia" w:ascii="仿宋" w:hAnsi="仿宋" w:eastAsia="仿宋" w:cs="仿宋"/>
          <w:color w:val="auto"/>
          <w:sz w:val="22"/>
          <w:highlight w:val="none"/>
          <w:shd w:val="clear" w:color="auto" w:fill="FFFFFF"/>
        </w:rPr>
        <w:t>先生</w:t>
      </w:r>
    </w:p>
    <w:p w14:paraId="25EB8629">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项目联系方式（询问）：18357720100</w:t>
      </w:r>
    </w:p>
    <w:p w14:paraId="3262D187">
      <w:pPr>
        <w:pStyle w:val="27"/>
        <w:spacing w:after="156"/>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质疑联系人：</w:t>
      </w:r>
      <w:r>
        <w:rPr>
          <w:rFonts w:hint="eastAsia" w:ascii="仿宋" w:hAnsi="仿宋" w:eastAsia="仿宋" w:cs="仿宋"/>
          <w:color w:val="auto"/>
          <w:sz w:val="22"/>
          <w:highlight w:val="none"/>
          <w:shd w:val="clear" w:color="auto" w:fill="FFFFFF"/>
          <w:lang w:val="en-US" w:eastAsia="zh-CN"/>
        </w:rPr>
        <w:t>卢先生</w:t>
      </w:r>
    </w:p>
    <w:p w14:paraId="7D0060DD">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质疑联系方式：15005876866</w:t>
      </w:r>
    </w:p>
    <w:p w14:paraId="47E6D5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3D7F373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2.采购代理机构信息</w:t>
      </w:r>
    </w:p>
    <w:p w14:paraId="2C8F9F9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称：杭州华旗招标代理有限公司 </w:t>
      </w:r>
    </w:p>
    <w:p w14:paraId="3EC3BDD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址：温州市泰顺县罗阳镇湖滨花苑B8幢401 </w:t>
      </w:r>
    </w:p>
    <w:p w14:paraId="0BF597AE">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4577DE4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项目联系人（询问）：翁爱霜</w:t>
      </w:r>
      <w:r>
        <w:rPr>
          <w:rFonts w:hint="eastAsia" w:ascii="仿宋" w:hAnsi="仿宋" w:eastAsia="仿宋" w:cs="仿宋"/>
          <w:color w:val="auto"/>
          <w:sz w:val="22"/>
          <w:highlight w:val="none"/>
          <w:shd w:val="clear" w:color="auto" w:fill="FFFFFF"/>
          <w:lang w:val="en-US" w:eastAsia="zh-CN"/>
        </w:rPr>
        <w:t xml:space="preserve"> </w:t>
      </w:r>
      <w:r>
        <w:rPr>
          <w:rFonts w:hint="eastAsia" w:ascii="仿宋" w:hAnsi="仿宋" w:eastAsia="仿宋" w:cs="仿宋"/>
          <w:color w:val="auto"/>
          <w:sz w:val="22"/>
          <w:highlight w:val="none"/>
          <w:shd w:val="clear" w:color="auto" w:fill="FFFFFF"/>
        </w:rPr>
        <w:t> </w:t>
      </w:r>
    </w:p>
    <w:p w14:paraId="396700E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项目联系方式（询问）：17858065131 </w:t>
      </w:r>
    </w:p>
    <w:p w14:paraId="4D71C422">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质疑联系人：苏红 </w:t>
      </w:r>
    </w:p>
    <w:p w14:paraId="336650D0">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质疑联系方式：15888799321 </w:t>
      </w:r>
    </w:p>
    <w:p w14:paraId="248F756E">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6415F8EB">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3.同级政府采购监督管理部门</w:t>
      </w:r>
    </w:p>
    <w:p w14:paraId="7BA5B3B6">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称：泰顺县财政局 </w:t>
      </w:r>
    </w:p>
    <w:p w14:paraId="67C7535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址：温州市泰顺县罗阳镇公园路48号 </w:t>
      </w:r>
    </w:p>
    <w:p w14:paraId="1C1DDB2D">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6DE7221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联  系  人 ：董女士 </w:t>
      </w:r>
    </w:p>
    <w:p w14:paraId="29191E8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监督投诉电话：0577-67588502</w:t>
      </w:r>
    </w:p>
    <w:p w14:paraId="1D2F18E2">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51F514BF">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3D285C31">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6BA4EA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3251B8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3324581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2922F98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8F0280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52EE6AF3">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297EFEB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32A07C5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694C52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27C8B9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7BFAB3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499ED74D">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0E30A8D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6C3B985">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第一部分、投标邀请函（投标须知前附表）</w:t>
      </w:r>
      <w:bookmarkEnd w:id="1"/>
    </w:p>
    <w:tbl>
      <w:tblPr>
        <w:tblStyle w:val="31"/>
        <w:tblW w:w="10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952"/>
        <w:gridCol w:w="1600"/>
        <w:gridCol w:w="7619"/>
      </w:tblGrid>
      <w:tr w14:paraId="1C0F5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tcBorders>
              <w:top w:val="single" w:color="auto" w:sz="12" w:space="0"/>
            </w:tcBorders>
            <w:vAlign w:val="center"/>
          </w:tcPr>
          <w:p w14:paraId="438C56BF">
            <w:pPr>
              <w:tabs>
                <w:tab w:val="left" w:pos="1069"/>
                <w:tab w:val="left" w:pos="2352"/>
              </w:tabs>
              <w:spacing w:line="400" w:lineRule="atLeast"/>
              <w:jc w:val="right"/>
              <w:rPr>
                <w:rFonts w:ascii="宋体" w:hAnsi="宋体" w:cs="宋体"/>
                <w:color w:val="auto"/>
                <w:sz w:val="22"/>
                <w:highlight w:val="none"/>
              </w:rPr>
            </w:pPr>
            <w:r>
              <w:rPr>
                <w:rFonts w:hint="eastAsia" w:ascii="宋体" w:hAnsi="宋体" w:cs="宋体"/>
                <w:color w:val="auto"/>
                <w:sz w:val="22"/>
                <w:highlight w:val="none"/>
              </w:rPr>
              <w:t>项号</w:t>
            </w:r>
          </w:p>
        </w:tc>
        <w:tc>
          <w:tcPr>
            <w:tcW w:w="1600" w:type="dxa"/>
            <w:tcBorders>
              <w:top w:val="single" w:color="auto" w:sz="12" w:space="0"/>
            </w:tcBorders>
            <w:vAlign w:val="center"/>
          </w:tcPr>
          <w:p w14:paraId="2C70ED24">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内容</w:t>
            </w:r>
          </w:p>
        </w:tc>
        <w:tc>
          <w:tcPr>
            <w:tcW w:w="7619" w:type="dxa"/>
            <w:tcBorders>
              <w:top w:val="single" w:color="auto" w:sz="12" w:space="0"/>
            </w:tcBorders>
            <w:vAlign w:val="center"/>
          </w:tcPr>
          <w:p w14:paraId="204D6FC7">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说明与要求</w:t>
            </w:r>
          </w:p>
        </w:tc>
      </w:tr>
      <w:tr w14:paraId="339DE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ACD26E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32B222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项目名称</w:t>
            </w:r>
          </w:p>
        </w:tc>
        <w:tc>
          <w:tcPr>
            <w:tcW w:w="7619" w:type="dxa"/>
            <w:vAlign w:val="center"/>
          </w:tcPr>
          <w:p w14:paraId="366A60C3">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Cs/>
                <w:color w:val="auto"/>
                <w:sz w:val="22"/>
                <w:highlight w:val="none"/>
                <w:lang w:eastAsia="zh-CN"/>
              </w:rPr>
              <w:t>2024年泰顺县司前畲族镇黄桥村晓燕自然村上燕农田宜机化改造项目</w:t>
            </w:r>
          </w:p>
        </w:tc>
      </w:tr>
      <w:tr w14:paraId="49EC2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236031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B0F201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项目编号</w:t>
            </w:r>
          </w:p>
        </w:tc>
        <w:tc>
          <w:tcPr>
            <w:tcW w:w="7619" w:type="dxa"/>
            <w:vAlign w:val="center"/>
          </w:tcPr>
          <w:p w14:paraId="608326F1">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TSCG202501004</w:t>
            </w:r>
          </w:p>
        </w:tc>
      </w:tr>
      <w:tr w14:paraId="31BD5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5132908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3A0A93B">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资金来源</w:t>
            </w:r>
          </w:p>
        </w:tc>
        <w:tc>
          <w:tcPr>
            <w:tcW w:w="7619" w:type="dxa"/>
            <w:vAlign w:val="center"/>
          </w:tcPr>
          <w:p w14:paraId="33494EA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专项债</w:t>
            </w:r>
            <w:r>
              <w:rPr>
                <w:rFonts w:hint="eastAsia" w:ascii="宋体" w:hAnsi="宋体" w:cs="宋体"/>
                <w:color w:val="auto"/>
                <w:sz w:val="22"/>
                <w:highlight w:val="none"/>
              </w:rPr>
              <w:t>资金</w:t>
            </w:r>
          </w:p>
        </w:tc>
      </w:tr>
      <w:tr w14:paraId="53F32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38717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02FAD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采购方式</w:t>
            </w:r>
          </w:p>
        </w:tc>
        <w:tc>
          <w:tcPr>
            <w:tcW w:w="7619" w:type="dxa"/>
            <w:vAlign w:val="center"/>
          </w:tcPr>
          <w:p w14:paraId="34C33DE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竞争性磋商</w:t>
            </w:r>
          </w:p>
        </w:tc>
      </w:tr>
      <w:tr w14:paraId="0D02A7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369CC24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716826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采购预算</w:t>
            </w:r>
          </w:p>
          <w:p w14:paraId="33BFCBF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（最高限价）</w:t>
            </w:r>
          </w:p>
        </w:tc>
        <w:tc>
          <w:tcPr>
            <w:tcW w:w="7619" w:type="dxa"/>
            <w:vAlign w:val="center"/>
          </w:tcPr>
          <w:p w14:paraId="7EC0903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shd w:val="clear" w:color="auto" w:fill="FFFFFF"/>
                <w:lang w:eastAsia="zh-CN"/>
              </w:rPr>
              <w:t>3327162</w:t>
            </w:r>
            <w:r>
              <w:rPr>
                <w:rFonts w:hint="eastAsia" w:ascii="宋体" w:hAnsi="宋体" w:cs="宋体"/>
                <w:color w:val="auto"/>
                <w:sz w:val="22"/>
                <w:highlight w:val="none"/>
                <w:shd w:val="clear" w:color="auto" w:fill="FFFFFF"/>
              </w:rPr>
              <w:t>元</w:t>
            </w:r>
          </w:p>
        </w:tc>
      </w:tr>
      <w:tr w14:paraId="04561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5624AA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43D85F4">
            <w:pPr>
              <w:tabs>
                <w:tab w:val="left" w:pos="1069"/>
              </w:tabs>
              <w:adjustRightInd w:val="0"/>
              <w:jc w:val="center"/>
              <w:rPr>
                <w:rFonts w:ascii="宋体" w:hAnsi="宋体" w:cs="宋体"/>
                <w:color w:val="auto"/>
                <w:sz w:val="22"/>
                <w:highlight w:val="none"/>
              </w:rPr>
            </w:pPr>
            <w:r>
              <w:rPr>
                <w:rFonts w:hint="eastAsia" w:ascii="宋体" w:hAnsi="宋体" w:cs="宋体"/>
                <w:color w:val="auto"/>
                <w:sz w:val="22"/>
                <w:highlight w:val="none"/>
              </w:rPr>
              <w:t>采购人</w:t>
            </w:r>
          </w:p>
        </w:tc>
        <w:tc>
          <w:tcPr>
            <w:tcW w:w="7619" w:type="dxa"/>
            <w:vAlign w:val="center"/>
          </w:tcPr>
          <w:p w14:paraId="1D18589F">
            <w:pPr>
              <w:tabs>
                <w:tab w:val="left" w:pos="1069"/>
              </w:tabs>
              <w:adjustRightInd w:val="0"/>
              <w:jc w:val="left"/>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泰顺县司前畲族人民政府</w:t>
            </w:r>
          </w:p>
        </w:tc>
      </w:tr>
      <w:tr w14:paraId="55F45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E75E507">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06D61DC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招标代理机构</w:t>
            </w:r>
          </w:p>
        </w:tc>
        <w:tc>
          <w:tcPr>
            <w:tcW w:w="7619" w:type="dxa"/>
            <w:vAlign w:val="center"/>
          </w:tcPr>
          <w:p w14:paraId="2A6FA79B">
            <w:pPr>
              <w:tabs>
                <w:tab w:val="left" w:pos="1069"/>
                <w:tab w:val="left" w:pos="2352"/>
              </w:tabs>
              <w:adjustRightInd w:val="0"/>
              <w:jc w:val="left"/>
              <w:rPr>
                <w:rFonts w:ascii="宋体" w:hAnsi="宋体" w:cs="宋体"/>
                <w:color w:val="auto"/>
                <w:sz w:val="22"/>
                <w:highlight w:val="none"/>
              </w:rPr>
            </w:pPr>
            <w:r>
              <w:rPr>
                <w:rFonts w:hint="eastAsia" w:ascii="宋体" w:hAnsi="宋体" w:cs="宋体"/>
                <w:color w:val="auto"/>
                <w:sz w:val="22"/>
                <w:highlight w:val="none"/>
              </w:rPr>
              <w:t>杭州华旗招标代理有限公司</w:t>
            </w:r>
          </w:p>
        </w:tc>
      </w:tr>
      <w:tr w14:paraId="74D1B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6D6CD766">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5471D22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评标办法</w:t>
            </w:r>
          </w:p>
        </w:tc>
        <w:tc>
          <w:tcPr>
            <w:tcW w:w="7619" w:type="dxa"/>
            <w:vAlign w:val="center"/>
          </w:tcPr>
          <w:p w14:paraId="7E62BC13">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综合评分法</w:t>
            </w:r>
          </w:p>
        </w:tc>
      </w:tr>
      <w:tr w14:paraId="2D1EE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78B161C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E5263B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招标内容</w:t>
            </w:r>
          </w:p>
        </w:tc>
        <w:tc>
          <w:tcPr>
            <w:tcW w:w="7619" w:type="dxa"/>
            <w:vAlign w:val="center"/>
          </w:tcPr>
          <w:p w14:paraId="24857580">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具体内容见竞争性磋商文件。</w:t>
            </w:r>
          </w:p>
        </w:tc>
      </w:tr>
      <w:tr w14:paraId="0D583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2547299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F6348D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投标供应商</w:t>
            </w:r>
          </w:p>
          <w:p w14:paraId="3AC1893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资格要求</w:t>
            </w:r>
          </w:p>
        </w:tc>
        <w:tc>
          <w:tcPr>
            <w:tcW w:w="7619" w:type="dxa"/>
            <w:vAlign w:val="center"/>
          </w:tcPr>
          <w:p w14:paraId="18AA18E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详见采购公告</w:t>
            </w:r>
          </w:p>
        </w:tc>
      </w:tr>
      <w:tr w14:paraId="49FD2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121E0A1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F4A39E6">
            <w:pPr>
              <w:adjustRightInd w:val="0"/>
              <w:jc w:val="center"/>
              <w:rPr>
                <w:rFonts w:ascii="宋体" w:hAnsi="宋体" w:cs="宋体"/>
                <w:color w:val="auto"/>
                <w:sz w:val="22"/>
                <w:highlight w:val="none"/>
              </w:rPr>
            </w:pPr>
            <w:r>
              <w:rPr>
                <w:rFonts w:hint="eastAsia" w:ascii="宋体"/>
                <w:color w:val="auto"/>
                <w:sz w:val="22"/>
                <w:highlight w:val="none"/>
              </w:rPr>
              <w:t>是否接受联合体投标</w:t>
            </w:r>
          </w:p>
        </w:tc>
        <w:tc>
          <w:tcPr>
            <w:tcW w:w="7619" w:type="dxa"/>
            <w:vAlign w:val="center"/>
          </w:tcPr>
          <w:p w14:paraId="6F4FF4D5">
            <w:pPr>
              <w:adjustRightInd w:val="0"/>
              <w:rPr>
                <w:rFonts w:ascii="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color w:val="auto"/>
                <w:sz w:val="22"/>
                <w:highlight w:val="none"/>
              </w:rPr>
              <w:t>是</w:t>
            </w:r>
          </w:p>
          <w:p w14:paraId="06C8AADB">
            <w:pPr>
              <w:adjustRightInd w:val="0"/>
              <w:rPr>
                <w:rFonts w:ascii="宋体" w:hAnsi="宋体" w:cs="宋体"/>
                <w:color w:val="auto"/>
                <w:sz w:val="22"/>
                <w:highlight w:val="none"/>
              </w:rPr>
            </w:pPr>
            <w:r>
              <w:rPr>
                <w:rFonts w:hint="eastAsia" w:ascii="MS Gothic" w:hAnsi="MS Gothic" w:cs="MS Gothic"/>
                <w:color w:val="auto"/>
                <w:sz w:val="22"/>
                <w:highlight w:val="none"/>
              </w:rPr>
              <w:sym w:font="Wingdings 2" w:char="00A3"/>
            </w:r>
            <w:r>
              <w:rPr>
                <w:rFonts w:hint="eastAsia" w:ascii="MS Gothic" w:hAnsi="MS Gothic" w:cs="MS Gothic"/>
                <w:color w:val="auto"/>
                <w:sz w:val="22"/>
                <w:highlight w:val="none"/>
              </w:rPr>
              <w:t>否</w:t>
            </w:r>
          </w:p>
        </w:tc>
      </w:tr>
      <w:tr w14:paraId="7B2B4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1C1E653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4A4548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踏勘现场</w:t>
            </w:r>
          </w:p>
        </w:tc>
        <w:tc>
          <w:tcPr>
            <w:tcW w:w="7619" w:type="dxa"/>
            <w:vAlign w:val="center"/>
          </w:tcPr>
          <w:p w14:paraId="4966F48F">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不组织</w:t>
            </w:r>
          </w:p>
          <w:p w14:paraId="6063FC2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eq \o\ac(□)</w:instrText>
            </w:r>
            <w:r>
              <w:rPr>
                <w:rFonts w:hint="eastAsia" w:ascii="宋体" w:hAnsi="宋体" w:cs="宋体"/>
                <w:color w:val="auto"/>
                <w:sz w:val="22"/>
                <w:highlight w:val="none"/>
              </w:rPr>
              <w:fldChar w:fldCharType="end"/>
            </w:r>
            <w:r>
              <w:rPr>
                <w:rFonts w:hint="eastAsia" w:ascii="宋体" w:hAnsi="宋体" w:cs="宋体"/>
                <w:color w:val="auto"/>
                <w:sz w:val="22"/>
                <w:highlight w:val="none"/>
              </w:rPr>
              <w:t>组织</w:t>
            </w:r>
          </w:p>
        </w:tc>
      </w:tr>
      <w:tr w14:paraId="75F57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5C16B9B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5FD5CEA">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是否允许递交备选投标方案</w:t>
            </w:r>
          </w:p>
        </w:tc>
        <w:tc>
          <w:tcPr>
            <w:tcW w:w="7619" w:type="dxa"/>
            <w:vAlign w:val="center"/>
          </w:tcPr>
          <w:p w14:paraId="1A6A2ECC">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不允许</w:t>
            </w:r>
          </w:p>
          <w:p w14:paraId="75592C5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□允许</w:t>
            </w:r>
          </w:p>
        </w:tc>
      </w:tr>
      <w:tr w14:paraId="58523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952" w:type="dxa"/>
            <w:vAlign w:val="center"/>
          </w:tcPr>
          <w:p w14:paraId="1750FFF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313D82D">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投标货币</w:t>
            </w:r>
          </w:p>
        </w:tc>
        <w:tc>
          <w:tcPr>
            <w:tcW w:w="7619" w:type="dxa"/>
            <w:vAlign w:val="center"/>
          </w:tcPr>
          <w:p w14:paraId="5C8A7F5B">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人民币</w:t>
            </w:r>
          </w:p>
        </w:tc>
      </w:tr>
      <w:tr w14:paraId="12ABD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952" w:type="dxa"/>
            <w:vAlign w:val="center"/>
          </w:tcPr>
          <w:p w14:paraId="323C38D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C69139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投标语言</w:t>
            </w:r>
          </w:p>
        </w:tc>
        <w:tc>
          <w:tcPr>
            <w:tcW w:w="7619" w:type="dxa"/>
            <w:vAlign w:val="center"/>
          </w:tcPr>
          <w:p w14:paraId="0B928C81">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中文</w:t>
            </w:r>
          </w:p>
        </w:tc>
      </w:tr>
      <w:tr w14:paraId="1EDDA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632" w:hRule="atLeast"/>
          <w:jc w:val="center"/>
        </w:trPr>
        <w:tc>
          <w:tcPr>
            <w:tcW w:w="952" w:type="dxa"/>
            <w:vAlign w:val="center"/>
          </w:tcPr>
          <w:p w14:paraId="520DC30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8991D9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lang w:val="zh-CN"/>
              </w:rPr>
              <w:t>投标文件</w:t>
            </w:r>
            <w:r>
              <w:rPr>
                <w:rFonts w:hint="eastAsia" w:ascii="宋体" w:hAnsi="宋体" w:cs="宋体"/>
                <w:color w:val="auto"/>
                <w:sz w:val="22"/>
                <w:highlight w:val="none"/>
              </w:rPr>
              <w:t>说明</w:t>
            </w:r>
          </w:p>
        </w:tc>
        <w:tc>
          <w:tcPr>
            <w:tcW w:w="7619" w:type="dxa"/>
            <w:vAlign w:val="center"/>
          </w:tcPr>
          <w:p w14:paraId="59C42818">
            <w:pPr>
              <w:tabs>
                <w:tab w:val="left" w:pos="1069"/>
                <w:tab w:val="left" w:pos="2352"/>
              </w:tabs>
              <w:autoSpaceDE w:val="0"/>
              <w:autoSpaceDN w:val="0"/>
              <w:adjustRightInd w:val="0"/>
              <w:jc w:val="left"/>
              <w:rPr>
                <w:rFonts w:ascii="宋体" w:hAnsi="宋体" w:cs="宋体"/>
                <w:color w:val="auto"/>
                <w:sz w:val="22"/>
                <w:highlight w:val="none"/>
                <w:lang w:val="zh-CN"/>
              </w:rPr>
            </w:pPr>
            <w:r>
              <w:rPr>
                <w:rFonts w:hint="eastAsia" w:ascii="宋体" w:hAnsi="宋体" w:cs="宋体"/>
                <w:color w:val="auto"/>
                <w:sz w:val="22"/>
                <w:highlight w:val="none"/>
                <w:lang w:val="zh-CN"/>
              </w:rPr>
              <w:t>1.</w:t>
            </w:r>
            <w:r>
              <w:rPr>
                <w:rFonts w:hint="eastAsia" w:ascii="宋体" w:hAnsi="宋体" w:cs="宋体"/>
                <w:b/>
                <w:bCs/>
                <w:color w:val="auto"/>
                <w:sz w:val="22"/>
                <w:highlight w:val="none"/>
                <w:lang w:val="zh-CN"/>
              </w:rPr>
              <w:t>投标文件组成：</w:t>
            </w:r>
            <w:r>
              <w:rPr>
                <w:rFonts w:hint="eastAsia" w:ascii="宋体" w:hAnsi="宋体" w:cs="宋体"/>
                <w:color w:val="auto"/>
                <w:sz w:val="22"/>
                <w:highlight w:val="none"/>
                <w:lang w:val="zh-CN"/>
              </w:rPr>
              <w:t>《资格文件》及《商务技术文件》和《报价文件》。</w:t>
            </w:r>
          </w:p>
          <w:p w14:paraId="757C41B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投标文件编制：</w:t>
            </w:r>
            <w:r>
              <w:rPr>
                <w:rFonts w:hint="eastAsia" w:ascii="宋体" w:hAnsi="宋体" w:cs="宋体"/>
                <w:color w:val="auto"/>
                <w:sz w:val="22"/>
                <w:highlight w:val="none"/>
              </w:rPr>
              <w:t>供应商应先安装“政采云电子交易客户端”，并按照本采购文件和“政府采购云平台”的要求，通过“政采云电子交易客户端”编制并加密投标文件。</w:t>
            </w:r>
          </w:p>
          <w:p w14:paraId="04F07319">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投标文件的签章：</w:t>
            </w:r>
            <w:r>
              <w:rPr>
                <w:rFonts w:hint="eastAsia" w:ascii="宋体" w:hAnsi="宋体" w:cs="宋体"/>
                <w:color w:val="auto"/>
                <w:sz w:val="22"/>
                <w:highlight w:val="none"/>
              </w:rPr>
              <w:t>电子签章</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若是联合体投标的，以联合体投标牵头人为准</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w:t>
            </w:r>
          </w:p>
          <w:p w14:paraId="78846FD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投标文件的形式：</w:t>
            </w:r>
            <w:r>
              <w:rPr>
                <w:rFonts w:hint="eastAsia" w:ascii="宋体" w:hAnsi="宋体" w:cs="宋体"/>
                <w:color w:val="auto"/>
                <w:sz w:val="22"/>
                <w:highlight w:val="none"/>
              </w:rPr>
              <w:t>☑电子投标文件（“电子加密投标文件”，在投标文件编制完成后生成）；</w:t>
            </w:r>
          </w:p>
          <w:p w14:paraId="021F94E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“电子加密投标文件”是指通过“政采云电子交易客户端”完成投标文件编制后生成并加密的数据电文形式的投标文件。</w:t>
            </w:r>
          </w:p>
          <w:p w14:paraId="5FBA260C">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b/>
                <w:bCs/>
                <w:color w:val="auto"/>
                <w:sz w:val="22"/>
                <w:highlight w:val="none"/>
              </w:rPr>
              <w:t>5</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投标文件份数：</w:t>
            </w:r>
            <w:r>
              <w:rPr>
                <w:rFonts w:hint="eastAsia" w:ascii="宋体" w:hAnsi="宋体" w:cs="宋体"/>
                <w:color w:val="auto"/>
                <w:sz w:val="22"/>
                <w:highlight w:val="none"/>
              </w:rPr>
              <w:t>“电子加密投标文件”：在线上传递交。</w:t>
            </w:r>
          </w:p>
          <w:p w14:paraId="5D65380E">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6</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投标文件的上传和递交：</w:t>
            </w:r>
          </w:p>
          <w:p w14:paraId="358EACE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“电子加密投标文件”的上传、递交：</w:t>
            </w:r>
          </w:p>
          <w:p w14:paraId="427C56A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a.供应商应在投标截止时间前将“电子加密投标文件”成功上传递交至“政府采购云平台”，否则投标无效。</w:t>
            </w:r>
          </w:p>
          <w:p w14:paraId="47D523A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b.“电子加密投标文件”成功上传递交后，供应商可自行打印投标文件接收回执。</w:t>
            </w:r>
          </w:p>
          <w:p w14:paraId="0E709366">
            <w:pPr>
              <w:tabs>
                <w:tab w:val="left" w:pos="1069"/>
                <w:tab w:val="left" w:pos="2352"/>
              </w:tabs>
              <w:rPr>
                <w:rFonts w:ascii="宋体" w:hAnsi="宋体" w:cs="宋体"/>
                <w:b/>
                <w:bCs/>
                <w:color w:val="auto"/>
                <w:sz w:val="22"/>
                <w:highlight w:val="none"/>
              </w:rPr>
            </w:pPr>
            <w:r>
              <w:rPr>
                <w:rFonts w:hint="eastAsia" w:ascii="宋体" w:hAnsi="宋体" w:cs="宋体"/>
                <w:b/>
                <w:bCs/>
                <w:color w:val="auto"/>
                <w:sz w:val="22"/>
                <w:highlight w:val="none"/>
              </w:rPr>
              <w:t>7、电子加密投标文件的解密和异常情况处理：</w:t>
            </w:r>
          </w:p>
          <w:p w14:paraId="10FDB228">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（1）开标后，采购组织机构将向各供应商发出“电子加密投标文件”的解密通知，各供应商代表应当在接到解密通知后30分钟内自行完成“电子加密投标文件”的在线解密。</w:t>
            </w:r>
          </w:p>
          <w:p w14:paraId="30432283">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（2）</w:t>
            </w:r>
            <w:r>
              <w:rPr>
                <w:rStyle w:val="34"/>
                <w:rFonts w:hint="eastAsia" w:ascii="宋体" w:hAnsi="宋体" w:cs="宋体"/>
                <w:b w:val="0"/>
                <w:color w:val="auto"/>
                <w:sz w:val="22"/>
                <w:highlight w:val="none"/>
              </w:rPr>
              <w:t>通过“政府采购云平台”上传递交的“电子加密投标文件”无法按时解密的，其投标无效。</w:t>
            </w:r>
          </w:p>
          <w:p w14:paraId="71FEF7A3">
            <w:pPr>
              <w:tabs>
                <w:tab w:val="left" w:pos="1069"/>
                <w:tab w:val="left" w:pos="2352"/>
              </w:tabs>
              <w:snapToGrid w:val="0"/>
              <w:rPr>
                <w:rFonts w:ascii="宋体" w:hAnsi="宋体" w:cs="宋体"/>
                <w:color w:val="auto"/>
                <w:sz w:val="21"/>
                <w:szCs w:val="21"/>
                <w:highlight w:val="none"/>
              </w:rPr>
            </w:pPr>
            <w:r>
              <w:rPr>
                <w:rFonts w:hint="eastAsia" w:ascii="宋体" w:hAnsi="宋体" w:cs="宋体"/>
                <w:b/>
                <w:bCs/>
                <w:color w:val="auto"/>
                <w:sz w:val="21"/>
                <w:szCs w:val="21"/>
                <w:highlight w:val="none"/>
                <w:lang w:val="en-US" w:eastAsia="zh-CN"/>
              </w:rPr>
              <w:t>8.</w:t>
            </w:r>
            <w:r>
              <w:rPr>
                <w:rFonts w:hint="eastAsia" w:ascii="宋体" w:hAnsi="宋体" w:cs="宋体"/>
                <w:color w:val="auto"/>
                <w:sz w:val="21"/>
                <w:szCs w:val="21"/>
                <w:highlight w:val="none"/>
              </w:rPr>
              <w:t>投标截止后，在投标有效期内，供应商不能撤销投标文件。</w:t>
            </w:r>
          </w:p>
          <w:p w14:paraId="1A9388E8">
            <w:pPr>
              <w:tabs>
                <w:tab w:val="left" w:pos="1069"/>
                <w:tab w:val="left" w:pos="2352"/>
              </w:tabs>
              <w:snapToGrid w:val="0"/>
              <w:rPr>
                <w:rFonts w:ascii="宋体" w:hAnsi="宋体" w:cs="宋体"/>
                <w:color w:val="auto"/>
                <w:sz w:val="22"/>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w:t>
            </w:r>
            <w:r>
              <w:rPr>
                <w:rFonts w:hint="eastAsia" w:ascii="宋体" w:hAnsi="宋体" w:cs="宋体"/>
                <w:color w:val="auto"/>
                <w:sz w:val="22"/>
                <w:highlight w:val="none"/>
              </w:rPr>
              <w:t>存在下列行为的，招标代理机构将其失信行为上报政府采购主管部门，由主管部门按有关规定对其违法失信行为记录进行公开：</w:t>
            </w:r>
          </w:p>
          <w:p w14:paraId="6D0D5D05">
            <w:pPr>
              <w:tabs>
                <w:tab w:val="left" w:pos="1069"/>
                <w:tab w:val="left" w:pos="2352"/>
              </w:tabs>
              <w:snapToGrid w:val="0"/>
              <w:rPr>
                <w:rFonts w:ascii="宋体" w:hAnsi="宋体" w:cs="宋体"/>
                <w:color w:val="auto"/>
                <w:sz w:val="22"/>
                <w:highlight w:val="none"/>
              </w:rPr>
            </w:pPr>
            <w:r>
              <w:rPr>
                <w:rFonts w:hint="eastAsia" w:ascii="宋体" w:hAnsi="宋体" w:cs="宋体"/>
                <w:color w:val="auto"/>
                <w:sz w:val="22"/>
                <w:highlight w:val="none"/>
              </w:rPr>
              <w:t>（1）中标或者成交后，拒绝签订政府采购合同的；</w:t>
            </w:r>
          </w:p>
          <w:p w14:paraId="17AABD82">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rPr>
              <w:t>（2）投标有效期内撤销投标文件的</w:t>
            </w:r>
            <w:r>
              <w:rPr>
                <w:rFonts w:hint="eastAsia" w:ascii="宋体" w:hAnsi="宋体" w:cs="宋体"/>
                <w:color w:val="auto"/>
                <w:sz w:val="22"/>
                <w:highlight w:val="none"/>
                <w:lang w:eastAsia="zh-CN"/>
              </w:rPr>
              <w:t>。</w:t>
            </w:r>
          </w:p>
          <w:p w14:paraId="78C232B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10</w:t>
            </w:r>
            <w:r>
              <w:rPr>
                <w:rFonts w:hint="eastAsia" w:ascii="宋体" w:hAnsi="宋体" w:cs="宋体"/>
                <w:color w:val="auto"/>
                <w:sz w:val="22"/>
                <w:highlight w:val="none"/>
                <w:lang w:eastAsia="zh-CN"/>
              </w:rPr>
              <w:t>.</w:t>
            </w:r>
            <w:r>
              <w:rPr>
                <w:rFonts w:hint="eastAsia" w:ascii="宋体" w:hAnsi="宋体" w:cs="宋体"/>
                <w:b/>
                <w:bCs/>
                <w:color w:val="auto"/>
                <w:sz w:val="22"/>
                <w:highlight w:val="none"/>
                <w:u w:val="single"/>
              </w:rPr>
              <w:t>中标后，中标（成交）供应商须提供4份纸质投标文件至招标代理机构处作为纸质存档（地址：温州市泰顺县罗阳镇湖滨花苑B8幢401，翁女士，17858065131）。</w:t>
            </w:r>
          </w:p>
        </w:tc>
      </w:tr>
      <w:tr w14:paraId="72689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952" w:type="dxa"/>
            <w:vAlign w:val="center"/>
          </w:tcPr>
          <w:p w14:paraId="46D0D4D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D958E7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投标样品</w:t>
            </w:r>
          </w:p>
        </w:tc>
        <w:tc>
          <w:tcPr>
            <w:tcW w:w="7619" w:type="dxa"/>
            <w:vAlign w:val="center"/>
          </w:tcPr>
          <w:p w14:paraId="1805A2BE">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position w:val="2"/>
                <w:sz w:val="15"/>
                <w:highlight w:val="none"/>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1F2E4CF3">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sym w:font="Wingdings 2" w:char="00A3"/>
            </w:r>
            <w:r>
              <w:rPr>
                <w:rFonts w:hint="eastAsia" w:ascii="宋体" w:hAnsi="宋体" w:cs="宋体"/>
                <w:color w:val="auto"/>
                <w:kern w:val="0"/>
                <w:sz w:val="22"/>
                <w:highlight w:val="none"/>
              </w:rPr>
              <w:t>需要</w:t>
            </w:r>
          </w:p>
        </w:tc>
      </w:tr>
      <w:tr w14:paraId="25B7A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77" w:hRule="atLeast"/>
          <w:jc w:val="center"/>
        </w:trPr>
        <w:tc>
          <w:tcPr>
            <w:tcW w:w="952" w:type="dxa"/>
            <w:vAlign w:val="center"/>
          </w:tcPr>
          <w:p w14:paraId="725E2F9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19694DC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投标保证金</w:t>
            </w:r>
          </w:p>
        </w:tc>
        <w:tc>
          <w:tcPr>
            <w:tcW w:w="7619" w:type="dxa"/>
            <w:vAlign w:val="center"/>
          </w:tcPr>
          <w:p w14:paraId="6E2CD102">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2FE2CAC9">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t>□需要</w:t>
            </w:r>
          </w:p>
        </w:tc>
      </w:tr>
      <w:tr w14:paraId="776D0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952" w:type="dxa"/>
            <w:vAlign w:val="center"/>
          </w:tcPr>
          <w:p w14:paraId="585E824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E3909D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履约保证金</w:t>
            </w:r>
          </w:p>
        </w:tc>
        <w:tc>
          <w:tcPr>
            <w:tcW w:w="7619" w:type="dxa"/>
            <w:vAlign w:val="center"/>
          </w:tcPr>
          <w:p w14:paraId="1A4958EE">
            <w:pPr>
              <w:tabs>
                <w:tab w:val="left" w:pos="1069"/>
                <w:tab w:val="left" w:pos="2352"/>
              </w:tabs>
              <w:rPr>
                <w:rFonts w:hint="eastAsia" w:ascii="宋体" w:hAnsi="宋体" w:cs="宋体"/>
                <w:color w:val="auto"/>
                <w:sz w:val="22"/>
                <w:highlight w:val="none"/>
                <w:lang w:val="en-US"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sz w:val="22"/>
                <w:highlight w:val="none"/>
              </w:rPr>
              <w:t>不需要</w:t>
            </w:r>
            <w:r>
              <w:rPr>
                <w:rFonts w:hint="eastAsia" w:ascii="宋体" w:hAnsi="宋体" w:cs="宋体"/>
                <w:color w:val="auto"/>
                <w:sz w:val="22"/>
                <w:highlight w:val="none"/>
                <w:lang w:val="en-US" w:eastAsia="zh-CN"/>
              </w:rPr>
              <w:t xml:space="preserve">  </w:t>
            </w:r>
          </w:p>
          <w:p w14:paraId="056BB5F9">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lang w:eastAsia="zh-CN"/>
              </w:rPr>
              <w:instrText xml:space="preserve">,</w:instrText>
            </w:r>
            <w:r>
              <w:rPr>
                <w:rFonts w:hint="eastAsia" w:ascii="宋体" w:hAnsi="宋体" w:cs="宋体"/>
                <w:b/>
                <w:bCs/>
                <w:color w:val="auto"/>
                <w:kern w:val="0"/>
                <w:position w:val="2"/>
                <w:sz w:val="15"/>
                <w:highlight w:val="none"/>
                <w:lang w:eastAsia="zh-CN"/>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需要</w:t>
            </w: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p>
        </w:tc>
      </w:tr>
      <w:tr w14:paraId="6D76D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09" w:hRule="atLeast"/>
          <w:jc w:val="center"/>
        </w:trPr>
        <w:tc>
          <w:tcPr>
            <w:tcW w:w="952" w:type="dxa"/>
            <w:vAlign w:val="center"/>
          </w:tcPr>
          <w:p w14:paraId="5009EC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E969D5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竞争性磋商文件发售时间及获取方式</w:t>
            </w:r>
          </w:p>
        </w:tc>
        <w:tc>
          <w:tcPr>
            <w:tcW w:w="7619" w:type="dxa"/>
            <w:vAlign w:val="center"/>
          </w:tcPr>
          <w:p w14:paraId="60B89C5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登录浙江省政府采购网（网址：</w:t>
            </w: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HYPERLINK "http://www.zjzfcg.gov.cn）查找本项目并获取采购文件，获取采购文件时应填写正确的电子邮箱。" </w:instrText>
            </w:r>
            <w:r>
              <w:rPr>
                <w:rFonts w:hint="eastAsia" w:ascii="宋体" w:hAnsi="宋体" w:cs="宋体"/>
                <w:color w:val="auto"/>
                <w:sz w:val="22"/>
                <w:highlight w:val="none"/>
              </w:rPr>
              <w:fldChar w:fldCharType="separate"/>
            </w:r>
            <w:r>
              <w:rPr>
                <w:rFonts w:hint="eastAsia" w:ascii="宋体" w:hAnsi="宋体" w:cs="宋体"/>
                <w:color w:val="auto"/>
                <w:sz w:val="22"/>
                <w:highlight w:val="none"/>
              </w:rPr>
              <w:t>http://zfcg.czt.zj.gov.cn/）查找本项目并获取采购文件，获取采购文件时应填写正确的电子邮箱（开标时若有文件传输均发至此邮箱）。</w:t>
            </w:r>
          </w:p>
          <w:p w14:paraId="209B865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fldChar w:fldCharType="end"/>
            </w:r>
            <w:r>
              <w:rPr>
                <w:rFonts w:hint="eastAsia" w:ascii="宋体" w:hAnsi="宋体" w:cs="宋体"/>
                <w:color w:val="auto"/>
                <w:sz w:val="22"/>
                <w:highlight w:val="none"/>
              </w:rPr>
              <w:t>采购文件获取截止时间：本项目开标时间。</w:t>
            </w:r>
          </w:p>
        </w:tc>
      </w:tr>
      <w:tr w14:paraId="14605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D2D600E">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53573EC">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投标文件递交截止时间及地点</w:t>
            </w:r>
          </w:p>
        </w:tc>
        <w:tc>
          <w:tcPr>
            <w:tcW w:w="7619" w:type="dxa"/>
            <w:vAlign w:val="center"/>
          </w:tcPr>
          <w:p w14:paraId="2D55BEB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lang w:eastAsia="zh-CN"/>
              </w:rPr>
              <w:t>2025年01月22 日 15:00</w:t>
            </w:r>
            <w:r>
              <w:rPr>
                <w:rFonts w:hint="eastAsia" w:ascii="宋体" w:hAnsi="宋体" w:cs="宋体"/>
                <w:color w:val="auto"/>
                <w:sz w:val="22"/>
                <w:highlight w:val="none"/>
              </w:rPr>
              <w:t>(北京时间)</w:t>
            </w:r>
          </w:p>
          <w:p w14:paraId="4C36BB4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投标文件递交地点：“政府采购云平台（http://zfcg.czt.zj.gov.cn/）”在线递交</w:t>
            </w:r>
          </w:p>
        </w:tc>
      </w:tr>
      <w:tr w14:paraId="3E154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7E06D49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92B6E10">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开标时间</w:t>
            </w:r>
          </w:p>
          <w:p w14:paraId="3827595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开标地点</w:t>
            </w:r>
          </w:p>
        </w:tc>
        <w:tc>
          <w:tcPr>
            <w:tcW w:w="7619" w:type="dxa"/>
            <w:vAlign w:val="center"/>
          </w:tcPr>
          <w:p w14:paraId="1C81A06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开标时间：</w:t>
            </w:r>
            <w:r>
              <w:rPr>
                <w:rFonts w:hint="eastAsia" w:ascii="宋体" w:hAnsi="宋体" w:cs="宋体"/>
                <w:color w:val="auto"/>
                <w:sz w:val="22"/>
                <w:highlight w:val="none"/>
                <w:lang w:eastAsia="zh-CN"/>
              </w:rPr>
              <w:t>2025年01月22 日 15:00</w:t>
            </w:r>
            <w:r>
              <w:rPr>
                <w:rFonts w:hint="eastAsia" w:ascii="宋体" w:hAnsi="宋体" w:cs="宋体"/>
                <w:color w:val="auto"/>
                <w:sz w:val="22"/>
                <w:highlight w:val="none"/>
              </w:rPr>
              <w:t xml:space="preserve"> (北京时间)</w:t>
            </w:r>
          </w:p>
          <w:p w14:paraId="065A9E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开标地点：“政府采购云平台（http://zfcg.czt.zj.gov.cn/）”在线开标</w:t>
            </w:r>
          </w:p>
        </w:tc>
      </w:tr>
      <w:tr w14:paraId="3983E7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569860AB">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C62679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评审地点</w:t>
            </w:r>
          </w:p>
        </w:tc>
        <w:tc>
          <w:tcPr>
            <w:tcW w:w="7619" w:type="dxa"/>
            <w:vAlign w:val="center"/>
          </w:tcPr>
          <w:p w14:paraId="14F0D9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泰顺县公共资源交易中心五楼评标室1（温州市泰顺县罗阳镇新城大道123号）</w:t>
            </w:r>
          </w:p>
        </w:tc>
      </w:tr>
      <w:tr w14:paraId="7080E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084" w:hRule="atLeast"/>
          <w:jc w:val="center"/>
        </w:trPr>
        <w:tc>
          <w:tcPr>
            <w:tcW w:w="952" w:type="dxa"/>
            <w:vAlign w:val="center"/>
          </w:tcPr>
          <w:p w14:paraId="39317FD5">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A1066D8">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开标程序</w:t>
            </w:r>
          </w:p>
        </w:tc>
        <w:tc>
          <w:tcPr>
            <w:tcW w:w="7619" w:type="dxa"/>
            <w:vAlign w:val="center"/>
          </w:tcPr>
          <w:p w14:paraId="10C59A7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（一）开标准备</w:t>
            </w:r>
          </w:p>
          <w:p w14:paraId="5E9487F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采购组织机构原则上采用电子评标，按照响应文件规定的时间通过“政府采购云平台”组织开标、开启响应文件，所有供应商均应当准时在线参加。供应商如不参加磋商大会的，视同认可磋商结果，事后不得对采购相关人员、磋商过程和磋商结果提出异议，同时供应商因未在线参加磋商而导致响应文件无法按时解密等一切后果由供应商自己承担。</w:t>
            </w:r>
          </w:p>
          <w:p w14:paraId="33DDD4D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2.若磋商供应商在规定时间内无法解密或解密失败的，其投标无效。</w:t>
            </w:r>
          </w:p>
          <w:p w14:paraId="522596D3">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3.所有二次报价询标流程，均在线上完成，请各供应商务必不要离开电脑太久，并留意手机短信。（请提前检查“政采云”内，关于‘项目采购’的岗位权限是否已勾选上。如有问题，请致电400-881-7190）。</w:t>
            </w:r>
          </w:p>
          <w:p w14:paraId="46B0647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（二）电子招投标开标及评审程序</w:t>
            </w:r>
          </w:p>
          <w:p w14:paraId="19971D48">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7BF4140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2）投标文件解密结束，开启投标文件，对资格文件进行审查，并公布资格审查情况；</w:t>
            </w:r>
          </w:p>
          <w:p w14:paraId="3F9FA6F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3）评审小组就价格、服务等认为需要磋商的内容进行磋商，供应商逐家回答磋商小组的提问，响应人作出最终承诺和最终报价。</w:t>
            </w:r>
          </w:p>
          <w:p w14:paraId="5A327E0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4）对商务技术文件进行评审；</w:t>
            </w:r>
          </w:p>
          <w:p w14:paraId="4BEF02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5）对报价文件进行评审；</w:t>
            </w:r>
          </w:p>
          <w:p w14:paraId="793D914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6）公布评审结果。</w:t>
            </w:r>
          </w:p>
          <w:p w14:paraId="24475F7D">
            <w:pPr>
              <w:tabs>
                <w:tab w:val="left" w:pos="1069"/>
                <w:tab w:val="left" w:pos="2352"/>
              </w:tabs>
              <w:jc w:val="left"/>
              <w:rPr>
                <w:rFonts w:ascii="宋体" w:hAnsi="宋体" w:cs="宋体"/>
                <w:color w:val="auto"/>
                <w:sz w:val="22"/>
                <w:highlight w:val="none"/>
              </w:rPr>
            </w:pPr>
            <w:r>
              <w:rPr>
                <w:rFonts w:hint="eastAsia" w:ascii="宋体" w:hAnsi="宋体" w:cs="宋体"/>
                <w:b/>
                <w:bCs/>
                <w:color w:val="auto"/>
                <w:sz w:val="22"/>
                <w:highlight w:val="none"/>
              </w:rPr>
              <w:t>特别说明：政采云公司如对电子化开标及评审程序有调整的，按调整后的程序操作。</w:t>
            </w:r>
          </w:p>
        </w:tc>
      </w:tr>
      <w:tr w14:paraId="4E5FA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857A6E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9213FA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评审小组的</w:t>
            </w:r>
          </w:p>
          <w:p w14:paraId="0BC689C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组建</w:t>
            </w:r>
          </w:p>
        </w:tc>
        <w:tc>
          <w:tcPr>
            <w:tcW w:w="7619" w:type="dxa"/>
            <w:vAlign w:val="center"/>
          </w:tcPr>
          <w:p w14:paraId="5E8BA3D5">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评审小组构成：由采购人代表以及有关技术、经济等方面的专家组成，成员为3人及以上单数，其中技术、经济类专家不得少于总人数的2/3；评标专家确定方式：按相关规定从专家库中抽取。</w:t>
            </w:r>
          </w:p>
        </w:tc>
      </w:tr>
      <w:tr w14:paraId="0EE2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F4C167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865E94D">
            <w:pPr>
              <w:adjustRightInd w:val="0"/>
              <w:jc w:val="center"/>
              <w:rPr>
                <w:rFonts w:ascii="宋体"/>
                <w:color w:val="auto"/>
                <w:sz w:val="22"/>
                <w:highlight w:val="none"/>
              </w:rPr>
            </w:pPr>
            <w:r>
              <w:rPr>
                <w:rFonts w:hint="eastAsia" w:ascii="宋体"/>
                <w:color w:val="auto"/>
                <w:sz w:val="22"/>
                <w:highlight w:val="none"/>
              </w:rPr>
              <w:t>政府采购</w:t>
            </w:r>
          </w:p>
          <w:p w14:paraId="768EF29F">
            <w:pPr>
              <w:adjustRightInd w:val="0"/>
              <w:jc w:val="center"/>
              <w:rPr>
                <w:rFonts w:ascii="宋体" w:hAnsi="宋体" w:cs="宋体"/>
                <w:color w:val="auto"/>
                <w:sz w:val="22"/>
                <w:highlight w:val="none"/>
              </w:rPr>
            </w:pPr>
            <w:r>
              <w:rPr>
                <w:rFonts w:hint="eastAsia" w:ascii="宋体"/>
                <w:color w:val="auto"/>
                <w:sz w:val="22"/>
                <w:highlight w:val="none"/>
              </w:rPr>
              <w:t>扶持政策</w:t>
            </w:r>
          </w:p>
        </w:tc>
        <w:tc>
          <w:tcPr>
            <w:tcW w:w="7619" w:type="dxa"/>
            <w:vAlign w:val="center"/>
          </w:tcPr>
          <w:p w14:paraId="1E0633F1">
            <w:pPr>
              <w:tabs>
                <w:tab w:val="left" w:pos="1069"/>
                <w:tab w:val="left" w:pos="2352"/>
              </w:tabs>
              <w:rPr>
                <w:rFonts w:ascii="宋体" w:cs="Arial"/>
                <w:color w:val="auto"/>
                <w:sz w:val="22"/>
                <w:highlight w:val="none"/>
              </w:rPr>
            </w:pPr>
            <w:r>
              <w:rPr>
                <w:rFonts w:ascii="宋体"/>
                <w:color w:val="auto"/>
                <w:sz w:val="22"/>
                <w:highlight w:val="none"/>
              </w:rPr>
              <w:t>1</w:t>
            </w:r>
            <w:r>
              <w:rPr>
                <w:rFonts w:hint="eastAsia" w:ascii="宋体"/>
                <w:color w:val="auto"/>
                <w:sz w:val="22"/>
                <w:highlight w:val="none"/>
                <w:lang w:eastAsia="zh-CN"/>
              </w:rPr>
              <w:t>.</w:t>
            </w:r>
            <w:r>
              <w:rPr>
                <w:rFonts w:hint="eastAsia" w:ascii="宋体" w:hAnsi="宋体" w:cs="宋体"/>
                <w:color w:val="auto"/>
                <w:sz w:val="22"/>
                <w:highlight w:val="none"/>
              </w:rPr>
              <w:t>对符合财政扶持政策的小微企业（或监狱企业、或残疾人福利性单位）给予评标价格折扣。供应商企业属于以上多种性质的，不重复享受扶持政策</w:t>
            </w:r>
            <w:r>
              <w:rPr>
                <w:rFonts w:hint="eastAsia" w:ascii="宋体" w:cs="Arial"/>
                <w:color w:val="auto"/>
                <w:sz w:val="22"/>
                <w:highlight w:val="none"/>
              </w:rPr>
              <w:t>。</w:t>
            </w:r>
          </w:p>
          <w:p w14:paraId="11BC3AC9">
            <w:pPr>
              <w:rPr>
                <w:rFonts w:ascii="宋体" w:hAnsi="宋体" w:cs="宋体"/>
                <w:color w:val="auto"/>
                <w:sz w:val="22"/>
                <w:highlight w:val="none"/>
              </w:rPr>
            </w:pPr>
            <w:r>
              <w:rPr>
                <w:rFonts w:ascii="宋体" w:cs="Arial"/>
                <w:color w:val="auto"/>
                <w:sz w:val="22"/>
                <w:highlight w:val="none"/>
              </w:rPr>
              <w:t>2</w:t>
            </w:r>
            <w:r>
              <w:rPr>
                <w:rFonts w:hint="eastAsia" w:ascii="宋体" w:cs="Arial"/>
                <w:color w:val="auto"/>
                <w:sz w:val="22"/>
                <w:highlight w:val="none"/>
                <w:lang w:eastAsia="zh-CN"/>
              </w:rPr>
              <w:t>.</w:t>
            </w:r>
            <w:r>
              <w:rPr>
                <w:rFonts w:hint="eastAsia" w:ascii="宋体" w:cs="Arial"/>
                <w:color w:val="auto"/>
                <w:sz w:val="22"/>
                <w:highlight w:val="none"/>
              </w:rPr>
              <w:t>对节能、环保产品优先采购。</w:t>
            </w:r>
          </w:p>
        </w:tc>
      </w:tr>
      <w:tr w14:paraId="778D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041" w:hRule="atLeast"/>
          <w:jc w:val="center"/>
        </w:trPr>
        <w:tc>
          <w:tcPr>
            <w:tcW w:w="952" w:type="dxa"/>
            <w:vAlign w:val="center"/>
          </w:tcPr>
          <w:p w14:paraId="2E575B3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B91904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供应商信用查询</w:t>
            </w:r>
          </w:p>
        </w:tc>
        <w:tc>
          <w:tcPr>
            <w:tcW w:w="7619" w:type="dxa"/>
            <w:vAlign w:val="center"/>
          </w:tcPr>
          <w:p w14:paraId="0E619DF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投标供应商信用信息查询的查询渠道：“信用中国”(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w:t>
            </w:r>
          </w:p>
          <w:p w14:paraId="08B8CF5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投标供应商信用信息查询截止时点：本项目投标截止时间前。</w:t>
            </w:r>
          </w:p>
          <w:p w14:paraId="4E287F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投标供应商信用信息查询记录和证据留存的具体方式：网页截图打印；</w:t>
            </w:r>
          </w:p>
          <w:p w14:paraId="3965D7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color w:val="auto"/>
                <w:sz w:val="22"/>
                <w:highlight w:val="none"/>
              </w:rPr>
              <w:t>信用信息的使用规则：信用中国”被列入失信被执行人名单、重大税收违法案件当事人名单的供应商，或“中国政府采购网”具有严重违法失信行为信息记录的供应商，其投标做无效投标处理；</w:t>
            </w:r>
          </w:p>
        </w:tc>
      </w:tr>
      <w:tr w14:paraId="17CE4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4D3AE98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CB0B29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合同备案</w:t>
            </w:r>
          </w:p>
        </w:tc>
        <w:tc>
          <w:tcPr>
            <w:tcW w:w="7619" w:type="dxa"/>
            <w:vAlign w:val="center"/>
          </w:tcPr>
          <w:p w14:paraId="775C057D">
            <w:pPr>
              <w:numPr>
                <w:ilvl w:val="0"/>
                <w:numId w:val="0"/>
              </w:numPr>
              <w:tabs>
                <w:tab w:val="left" w:pos="1069"/>
                <w:tab w:val="left" w:pos="2352"/>
              </w:tabs>
              <w:jc w:val="both"/>
              <w:rPr>
                <w:rFonts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中标（成交）供应商须在发出中标（成交）通知书之日起30日历天内与</w:t>
            </w:r>
          </w:p>
          <w:p w14:paraId="619B858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采购人签订合同。</w:t>
            </w:r>
          </w:p>
          <w:p w14:paraId="78B5506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中标（成交）供应商与采购人签订合同后，2日历天内将合同原件交招标代理机构备案。</w:t>
            </w:r>
          </w:p>
          <w:p w14:paraId="7D8E6FA8">
            <w:pPr>
              <w:numPr>
                <w:ilvl w:val="0"/>
                <w:numId w:val="0"/>
              </w:num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3.</w:t>
            </w:r>
            <w:r>
              <w:rPr>
                <w:rFonts w:hint="eastAsia" w:ascii="宋体" w:hAnsi="宋体" w:cs="宋体"/>
                <w:color w:val="auto"/>
                <w:sz w:val="22"/>
                <w:highlight w:val="none"/>
              </w:rPr>
              <w:t>本项目政府采购合同按规定在浙江政府采购网（http://zfcg.czt.zj.gov.cn/）予以公告。</w:t>
            </w:r>
          </w:p>
        </w:tc>
      </w:tr>
      <w:tr w14:paraId="2DF60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7158FBB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8CC6D8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合同履约管理</w:t>
            </w:r>
          </w:p>
        </w:tc>
        <w:tc>
          <w:tcPr>
            <w:tcW w:w="7619" w:type="dxa"/>
            <w:vAlign w:val="center"/>
          </w:tcPr>
          <w:p w14:paraId="39CE0AB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合同签订后，采购人依法加强对合同履约进行管理，并在中标（成交）单位供货（或服务）、项目验收等重要关节，如实填写《合同验收报告》（表附合同条款中），并及时向同级财政部门报告验收过程中遇到的问题。</w:t>
            </w:r>
          </w:p>
        </w:tc>
      </w:tr>
      <w:tr w14:paraId="0898D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54BAEB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9F2F90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免责声明</w:t>
            </w:r>
          </w:p>
        </w:tc>
        <w:tc>
          <w:tcPr>
            <w:tcW w:w="7619" w:type="dxa"/>
            <w:vAlign w:val="center"/>
          </w:tcPr>
          <w:p w14:paraId="69CDB72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投标供应商自行承担投标过程中产生的费用。无论何种因素导致采购项目延期开标、废标（流标）、投标供应商未成交、项目终止采购的，采购人与代理机构均不承担供应商投标费用。</w:t>
            </w:r>
          </w:p>
          <w:p w14:paraId="52CAB64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投标供应商在投标、合同履行过程中必须做好安全保障工作，不因项目实施而危及自身及第三方人员、财产安全。若发生任何安全事故，由中标（成交）供应商自行承担一切责任并赔偿损失。</w:t>
            </w:r>
          </w:p>
        </w:tc>
      </w:tr>
    </w:tbl>
    <w:p w14:paraId="7C77D272">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bookmarkStart w:id="2" w:name="_Toc758_WPSOffice_Level1"/>
    </w:p>
    <w:p w14:paraId="6E13D64C">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3F180A33">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6C7823AD">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23576C9">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06B0922">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28998777">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lang w:val="zh-CN"/>
        </w:rPr>
        <w:t>第二部分、</w:t>
      </w:r>
      <w:bookmarkEnd w:id="2"/>
      <w:r>
        <w:rPr>
          <w:rFonts w:hint="eastAsia" w:ascii="宋体" w:hAnsi="宋体" w:cs="宋体"/>
          <w:b/>
          <w:color w:val="auto"/>
          <w:sz w:val="32"/>
          <w:szCs w:val="32"/>
          <w:highlight w:val="none"/>
          <w:lang w:val="zh-CN"/>
        </w:rPr>
        <w:t>采购内容及要求</w:t>
      </w:r>
    </w:p>
    <w:p w14:paraId="0B837538">
      <w:pPr>
        <w:keepNext w:val="0"/>
        <w:keepLines w:val="0"/>
        <w:pageBreakBefore w:val="0"/>
        <w:numPr>
          <w:ilvl w:val="0"/>
          <w:numId w:val="0"/>
        </w:numPr>
        <w:kinsoku/>
        <w:wordWrap/>
        <w:overflowPunct/>
        <w:topLinePunct w:val="0"/>
        <w:autoSpaceDE/>
        <w:autoSpaceDN/>
        <w:bidi w:val="0"/>
        <w:spacing w:line="400" w:lineRule="exact"/>
        <w:ind w:firstLine="442" w:firstLineChars="200"/>
        <w:textAlignment w:val="auto"/>
        <w:outlineLvl w:val="0"/>
        <w:rPr>
          <w:rFonts w:hint="eastAsia" w:ascii="宋体" w:hAnsi="宋体" w:eastAsia="宋体" w:cs="宋体"/>
          <w:b/>
          <w:bCs/>
          <w:color w:val="auto"/>
          <w:sz w:val="22"/>
          <w:szCs w:val="22"/>
          <w:highlight w:val="none"/>
          <w:lang w:eastAsia="zh-CN"/>
        </w:rPr>
      </w:pPr>
      <w:bookmarkStart w:id="3" w:name="_Toc24138"/>
      <w:bookmarkStart w:id="4" w:name="_Toc14882"/>
      <w:bookmarkStart w:id="5" w:name="_Toc28442"/>
      <w:bookmarkStart w:id="6" w:name="_Toc9333"/>
      <w:bookmarkStart w:id="7" w:name="_Toc9096"/>
      <w:bookmarkStart w:id="8" w:name="_Toc16041"/>
      <w:bookmarkStart w:id="9" w:name="_Toc27595469"/>
      <w:bookmarkStart w:id="10" w:name="_Toc29541"/>
      <w:bookmarkStart w:id="11" w:name="_Toc22764"/>
      <w:bookmarkStart w:id="12" w:name="_Toc32655"/>
      <w:bookmarkStart w:id="13" w:name="_Toc15568468"/>
      <w:bookmarkStart w:id="14" w:name="_Toc10658"/>
      <w:bookmarkStart w:id="15" w:name="_Toc27414"/>
      <w:bookmarkStart w:id="16" w:name="_Toc5398"/>
      <w:bookmarkStart w:id="17" w:name="_Toc5493_WPSOffice_Level1"/>
      <w:r>
        <w:rPr>
          <w:rFonts w:hint="eastAsia" w:ascii="宋体" w:hAnsi="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项目</w:t>
      </w:r>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ascii="宋体" w:hAnsi="宋体" w:eastAsia="宋体" w:cs="宋体"/>
          <w:b/>
          <w:bCs/>
          <w:color w:val="auto"/>
          <w:sz w:val="22"/>
          <w:szCs w:val="22"/>
          <w:highlight w:val="none"/>
          <w:lang w:val="en-US" w:eastAsia="zh-CN"/>
        </w:rPr>
        <w:t>内容</w:t>
      </w:r>
    </w:p>
    <w:p w14:paraId="661A99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1.项目服务范围：</w:t>
      </w:r>
      <w:r>
        <w:rPr>
          <w:rFonts w:hint="eastAsia" w:hAnsi="宋体" w:cs="宋体"/>
          <w:bCs/>
          <w:color w:val="auto"/>
          <w:kern w:val="0"/>
          <w:sz w:val="22"/>
          <w:szCs w:val="22"/>
          <w:highlight w:val="none"/>
          <w:u w:val="none"/>
          <w:lang w:val="en-US" w:eastAsia="zh-CN"/>
        </w:rPr>
        <w:t>泰顺县司前畲族镇黄桥村晓燕自然村上燕</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设计面积约128亩</w:t>
      </w:r>
      <w:r>
        <w:rPr>
          <w:rFonts w:hint="eastAsia" w:ascii="宋体" w:hAnsi="宋体" w:eastAsia="宋体" w:cs="宋体"/>
          <w:bCs/>
          <w:color w:val="auto"/>
          <w:kern w:val="0"/>
          <w:sz w:val="22"/>
          <w:szCs w:val="22"/>
          <w:highlight w:val="none"/>
          <w:u w:val="none"/>
          <w:lang w:val="en-US" w:eastAsia="zh-CN"/>
        </w:rPr>
        <w:t>。</w:t>
      </w:r>
    </w:p>
    <w:p w14:paraId="7775137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2.项目实施方式：农村土地</w:t>
      </w:r>
      <w:r>
        <w:rPr>
          <w:rFonts w:hint="eastAsia" w:hAnsi="宋体" w:cs="宋体"/>
          <w:bCs/>
          <w:color w:val="auto"/>
          <w:kern w:val="0"/>
          <w:sz w:val="22"/>
          <w:szCs w:val="22"/>
          <w:highlight w:val="none"/>
          <w:u w:val="none"/>
          <w:lang w:val="en-US" w:eastAsia="zh-CN"/>
        </w:rPr>
        <w:t>宜机化改造</w:t>
      </w:r>
      <w:r>
        <w:rPr>
          <w:rFonts w:hint="eastAsia" w:ascii="宋体" w:hAnsi="宋体" w:eastAsia="宋体" w:cs="宋体"/>
          <w:bCs/>
          <w:color w:val="auto"/>
          <w:kern w:val="0"/>
          <w:sz w:val="22"/>
          <w:szCs w:val="22"/>
          <w:highlight w:val="none"/>
          <w:u w:val="none"/>
          <w:lang w:val="en-US" w:eastAsia="zh-CN"/>
        </w:rPr>
        <w:t>及项目运营。具体内容为：</w:t>
      </w:r>
    </w:p>
    <w:p w14:paraId="497C2BA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部分：包含农田土地平整、灌溉与排水、田间道路、农田防护与生态环境保持等全部费用，详见工程量清单，采购人按实际数量结算费用。供应商应注意考虑报价风险。实施期要求：须在10个月内完成改造，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p>
    <w:p w14:paraId="6BEFE58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采购人、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自过渡期满后开始计算，若上级政策及主管部门另有要求的，以其规定为准，中标方须无条件接受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254B64F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协助采购人备案、项目实施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7B65F7E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3.本项目通过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后，对项目进行整体运营，采取运营收益上缴方式，在300元/亩/年基础上进行报价，按实际亩数计算上缴费用，运营收益，一年一交，在每年</w:t>
      </w:r>
      <w:r>
        <w:rPr>
          <w:rFonts w:hint="eastAsia" w:hAnsi="宋体" w:cs="宋体"/>
          <w:bCs/>
          <w:color w:val="auto"/>
          <w:kern w:val="0"/>
          <w:sz w:val="22"/>
          <w:szCs w:val="22"/>
          <w:highlight w:val="none"/>
          <w:u w:val="none"/>
          <w:lang w:val="en-US" w:eastAsia="zh-CN"/>
        </w:rPr>
        <w:t>度开始时</w:t>
      </w:r>
      <w:r>
        <w:rPr>
          <w:rFonts w:hint="eastAsia" w:ascii="宋体" w:hAnsi="宋体" w:eastAsia="宋体" w:cs="宋体"/>
          <w:bCs/>
          <w:color w:val="auto"/>
          <w:kern w:val="0"/>
          <w:sz w:val="22"/>
          <w:szCs w:val="22"/>
          <w:highlight w:val="none"/>
          <w:u w:val="none"/>
          <w:lang w:val="en-US" w:eastAsia="zh-CN"/>
        </w:rPr>
        <w:t>统一交入县财政专户。同时中标单位须根据实际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亩数支付土地租金费用给村集体，本项目预计租金费用为</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400</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75C4288A">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bookmarkStart w:id="18" w:name="_Toc27595471"/>
      <w:bookmarkStart w:id="19" w:name="_Toc647"/>
      <w:bookmarkStart w:id="20" w:name="_Toc15568471"/>
      <w:r>
        <w:rPr>
          <w:rFonts w:hint="eastAsia" w:ascii="宋体" w:hAnsi="宋体" w:eastAsia="宋体" w:cs="宋体"/>
          <w:bCs/>
          <w:color w:val="auto"/>
          <w:kern w:val="0"/>
          <w:sz w:val="22"/>
          <w:szCs w:val="22"/>
          <w:highlight w:val="none"/>
          <w:u w:val="none"/>
          <w:lang w:val="en-US" w:eastAsia="zh-CN"/>
        </w:rPr>
        <w:t>4.未经采购人书面同意，不得进行转包、分包。</w:t>
      </w:r>
    </w:p>
    <w:p w14:paraId="6335540E">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5.如未联合体投标的，投标供应商明确项目内分工、双方权利义务等。</w:t>
      </w:r>
    </w:p>
    <w:p w14:paraId="76EAE335">
      <w:pPr>
        <w:keepNext w:val="0"/>
        <w:keepLines w:val="0"/>
        <w:pageBreakBefore w:val="0"/>
        <w:kinsoku/>
        <w:wordWrap/>
        <w:overflowPunct/>
        <w:topLinePunct w:val="0"/>
        <w:autoSpaceDE/>
        <w:autoSpaceDN/>
        <w:bidi w:val="0"/>
        <w:spacing w:line="400" w:lineRule="exact"/>
        <w:ind w:firstLine="442" w:firstLineChars="200"/>
        <w:textAlignment w:val="auto"/>
        <w:outlineLvl w:val="9"/>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w:t>
      </w:r>
      <w:bookmarkEnd w:id="18"/>
      <w:bookmarkEnd w:id="19"/>
      <w:bookmarkEnd w:id="20"/>
      <w:bookmarkStart w:id="21" w:name="_Toc10535"/>
      <w:bookmarkStart w:id="22" w:name="_Toc27759"/>
      <w:bookmarkStart w:id="23" w:name="_Toc20558"/>
      <w:bookmarkStart w:id="24" w:name="_Toc32086"/>
      <w:bookmarkStart w:id="25" w:name="_Toc31203"/>
      <w:bookmarkStart w:id="26" w:name="_Toc27595487"/>
      <w:bookmarkStart w:id="27" w:name="_Toc15568491"/>
      <w:bookmarkStart w:id="28" w:name="_Toc30036"/>
      <w:bookmarkStart w:id="29" w:name="_Toc9612"/>
      <w:r>
        <w:rPr>
          <w:rFonts w:hint="eastAsia" w:ascii="宋体" w:hAnsi="宋体" w:cs="宋体"/>
          <w:b/>
          <w:bCs/>
          <w:color w:val="auto"/>
          <w:sz w:val="22"/>
          <w:szCs w:val="22"/>
          <w:highlight w:val="none"/>
          <w:lang w:val="en-US" w:eastAsia="zh-CN"/>
        </w:rPr>
        <w:t>服务要求</w:t>
      </w:r>
    </w:p>
    <w:p w14:paraId="2AF6F75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的权利</w:t>
      </w:r>
    </w:p>
    <w:p w14:paraId="5169DD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)在项目建设运营期间，</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享有项目范围内全部资产的使用权、经营权。</w:t>
      </w:r>
    </w:p>
    <w:p w14:paraId="6C7D39B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)在项目运营期内，</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享受泰顺本地及上级的扶持优惠政策，扶持的政策按规定执行。</w:t>
      </w:r>
    </w:p>
    <w:p w14:paraId="69C920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w:t>
      </w:r>
      <w:r>
        <w:rPr>
          <w:rFonts w:hint="eastAsia" w:ascii="宋体" w:hAnsi="宋体" w:eastAsia="宋体" w:cs="宋体"/>
          <w:bCs/>
          <w:color w:val="auto"/>
          <w:kern w:val="0"/>
          <w:sz w:val="22"/>
          <w:szCs w:val="22"/>
          <w:highlight w:val="none"/>
          <w:u w:val="none"/>
          <w:lang w:val="en-US" w:eastAsia="zh-CN"/>
        </w:rPr>
        <w:t>)运营期内如因泰顺县或上级政府规划调整，导致该项目全部或部分土地被征用的，经与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协商后，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应清理征用区域的农作物及地上附着物，享有被征用部分的青苗补偿款及地上附着物的补偿款，但项目区内的基础设施政府投入和补贴部分不列入补偿范围。</w:t>
      </w:r>
    </w:p>
    <w:p w14:paraId="56EB2FF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的义务</w:t>
      </w:r>
    </w:p>
    <w:p w14:paraId="0A0BB34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按约定如数如期向财政上交土地收益费用</w:t>
      </w:r>
      <w:r>
        <w:rPr>
          <w:rFonts w:hint="eastAsia" w:hAnsi="宋体" w:cs="宋体"/>
          <w:bCs/>
          <w:color w:val="auto"/>
          <w:kern w:val="0"/>
          <w:sz w:val="22"/>
          <w:szCs w:val="22"/>
          <w:highlight w:val="none"/>
          <w:u w:val="none"/>
          <w:lang w:val="en-US" w:eastAsia="zh-CN"/>
        </w:rPr>
        <w:t>，否则采购人有权终止合同。</w:t>
      </w:r>
    </w:p>
    <w:p w14:paraId="0C62BB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在运营期内，自主经营、自负盈亏、并依法办理相关审批手续。</w:t>
      </w:r>
    </w:p>
    <w:p w14:paraId="51FA33D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3中标（成交）供应商</w:t>
      </w:r>
      <w:r>
        <w:rPr>
          <w:rFonts w:hint="eastAsia" w:ascii="宋体" w:hAnsi="宋体" w:eastAsia="宋体" w:cs="宋体"/>
          <w:bCs/>
          <w:color w:val="auto"/>
          <w:kern w:val="0"/>
          <w:sz w:val="22"/>
          <w:szCs w:val="22"/>
          <w:highlight w:val="none"/>
          <w:u w:val="none"/>
          <w:lang w:val="en-US" w:eastAsia="zh-CN"/>
        </w:rPr>
        <w:t>在运营期内不得将承租土地抛荒、转借，在租赁土地范围内修建农用设施及办公、生活必需的其他固定建筑物和构筑物，必须征得</w:t>
      </w:r>
      <w:r>
        <w:rPr>
          <w:rFonts w:hint="eastAsia" w:hAnsi="宋体" w:cs="宋体"/>
          <w:bCs/>
          <w:color w:val="auto"/>
          <w:kern w:val="0"/>
          <w:sz w:val="22"/>
          <w:szCs w:val="22"/>
          <w:highlight w:val="none"/>
          <w:u w:val="none"/>
          <w:lang w:val="en-US" w:eastAsia="zh-CN"/>
        </w:rPr>
        <w:t>采购人及</w:t>
      </w:r>
      <w:r>
        <w:rPr>
          <w:rFonts w:hint="eastAsia" w:ascii="宋体" w:hAnsi="宋体" w:eastAsia="宋体" w:cs="宋体"/>
          <w:bCs/>
          <w:color w:val="auto"/>
          <w:kern w:val="0"/>
          <w:sz w:val="22"/>
          <w:szCs w:val="22"/>
          <w:highlight w:val="none"/>
          <w:u w:val="none"/>
          <w:lang w:val="en-US" w:eastAsia="zh-CN"/>
        </w:rPr>
        <w:t>相关</w:t>
      </w:r>
      <w:r>
        <w:rPr>
          <w:rFonts w:hint="eastAsia" w:hAnsi="宋体" w:cs="宋体"/>
          <w:bCs/>
          <w:color w:val="auto"/>
          <w:kern w:val="0"/>
          <w:sz w:val="22"/>
          <w:szCs w:val="22"/>
          <w:highlight w:val="none"/>
          <w:u w:val="none"/>
          <w:lang w:val="en-US" w:eastAsia="zh-CN"/>
        </w:rPr>
        <w:t>主管部门的</w:t>
      </w:r>
      <w:r>
        <w:rPr>
          <w:rFonts w:hint="eastAsia" w:ascii="宋体" w:hAnsi="宋体" w:eastAsia="宋体" w:cs="宋体"/>
          <w:bCs/>
          <w:color w:val="auto"/>
          <w:kern w:val="0"/>
          <w:sz w:val="22"/>
          <w:szCs w:val="22"/>
          <w:highlight w:val="none"/>
          <w:u w:val="none"/>
          <w:lang w:val="en-US" w:eastAsia="zh-CN"/>
        </w:rPr>
        <w:t>同意并报相关职能部门审批。</w:t>
      </w:r>
    </w:p>
    <w:p w14:paraId="363548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4</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不得擅自改变农业生产用途，不得挖塘，不得改变原有主要沟渠等水系。</w:t>
      </w:r>
    </w:p>
    <w:p w14:paraId="5E180D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5</w:t>
      </w:r>
      <w:r>
        <w:rPr>
          <w:rFonts w:hint="eastAsia" w:ascii="宋体" w:hAnsi="宋体" w:eastAsia="宋体" w:cs="宋体"/>
          <w:bCs/>
          <w:color w:val="auto"/>
          <w:kern w:val="0"/>
          <w:sz w:val="22"/>
          <w:szCs w:val="22"/>
          <w:highlight w:val="none"/>
          <w:u w:val="none"/>
          <w:lang w:val="en-US" w:eastAsia="zh-CN"/>
        </w:rPr>
        <w:t>)河道取水按规定办理。承租范围内沟、渠、机耕路在运营期由</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负责维修、更换，以保持正常使用。中标（成交）供应商必须无条件服从采购人因防汛抗旱、抢险救灾等民生公共事由对承租范围内基础设施的调度使用。</w:t>
      </w:r>
    </w:p>
    <w:p w14:paraId="17CB76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(6)运营期因生产经营所发生的所有事故及造成他人损害的，由中标（成交）供应商承担责任。</w:t>
      </w:r>
    </w:p>
    <w:p w14:paraId="6818C3C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(7)中标（成交）供应商积极配合采购人以及相关主管部门，对本项目的建设运营监督管理工作。</w:t>
      </w:r>
    </w:p>
    <w:p w14:paraId="788F9F00">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三、项目验收</w:t>
      </w:r>
      <w:bookmarkEnd w:id="21"/>
      <w:bookmarkEnd w:id="22"/>
      <w:bookmarkEnd w:id="23"/>
      <w:bookmarkEnd w:id="24"/>
      <w:bookmarkEnd w:id="25"/>
      <w:bookmarkEnd w:id="26"/>
      <w:bookmarkEnd w:id="27"/>
      <w:bookmarkEnd w:id="28"/>
      <w:bookmarkEnd w:id="29"/>
    </w:p>
    <w:p w14:paraId="4DF49EB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5A0DD4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102EA13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p>
    <w:p w14:paraId="203FEDD8">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default"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四、其他说明</w:t>
      </w:r>
    </w:p>
    <w:p w14:paraId="752A11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其它费用，由属地乡镇负责落实。包括项目设计、项目测绘、项目监理费、项目预算决算编制费、项目审计费（含项目审计及财务审计）、土壤采样、检测及耕地等级评定、竣工测量、分户测量和确权费、政策处理费，上述内容由采购人另行委托及建设单位支付相关费用，政策处理费包括青苗调查和赔偿以及其他政策处理费。</w:t>
      </w:r>
    </w:p>
    <w:p w14:paraId="38F0377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2.项目变压器及其安装费用，不在项目范围内，由项采购人或建设单位单独按实结算。</w:t>
      </w:r>
    </w:p>
    <w:p w14:paraId="254F6C89">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五、投标报价须知</w:t>
      </w:r>
    </w:p>
    <w:p w14:paraId="4D83802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投标报价（报价文件）。分为</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实施部分的下浮率报价、项目运营收益部分的亩均单价报价两部分。</w:t>
      </w:r>
    </w:p>
    <w:p w14:paraId="4EBBC7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实施部分的报价。即完成该项目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实施所需的一切费用，根据工程量清单进行下浮率报价。</w:t>
      </w:r>
    </w:p>
    <w:p w14:paraId="66BB04B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中标（成交）供应商以中标单价结算，包含实施工程量增加、变更等不可预见风险，不包含国家或部门法律、法规等政策变化造成的损失，但由中标（成交）供应商责任引起实施期延误的除外。</w:t>
      </w:r>
    </w:p>
    <w:p w14:paraId="190E21C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宜机化改造部分验收后，按实结算。结算价=[（1-中标下浮率）×实际工程量×单价。暂列金、预留金、暂估价等不下浮。</w:t>
      </w:r>
    </w:p>
    <w:p w14:paraId="6B161EB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2.项目运营收益部分的报价。在亩租金收益的基础上，实行亩均单价报价。</w:t>
      </w:r>
      <w:r>
        <w:rPr>
          <w:rFonts w:hint="eastAsia" w:ascii="宋体" w:hAnsi="宋体" w:cs="宋体"/>
          <w:b/>
          <w:bCs/>
          <w:color w:val="auto"/>
          <w:sz w:val="24"/>
          <w:szCs w:val="24"/>
          <w:highlight w:val="none"/>
          <w:u w:val="none"/>
        </w:rPr>
        <w:t>▲</w:t>
      </w:r>
      <w:r>
        <w:rPr>
          <w:rFonts w:hint="eastAsia" w:ascii="宋体" w:hAnsi="宋体" w:eastAsia="宋体" w:cs="宋体"/>
          <w:bCs/>
          <w:color w:val="auto"/>
          <w:kern w:val="0"/>
          <w:sz w:val="22"/>
          <w:szCs w:val="22"/>
          <w:highlight w:val="none"/>
          <w:u w:val="none"/>
          <w:lang w:val="en-US" w:eastAsia="zh-CN"/>
        </w:rPr>
        <w:t>根据泰顺县农田种植农作物实际情况统计分析，农田改造运营收益以年收益300元/亩/年为底价，在此基础上，每次报价上浮按20元增加，由投标供应商自主报价，如底价300元，投标供应商投标报价须为300元,320元,340元,360元等，以此类推。</w:t>
      </w:r>
    </w:p>
    <w:p w14:paraId="5E63F963">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bookmarkStart w:id="30" w:name="_Toc27595494"/>
      <w:bookmarkStart w:id="31" w:name="_Toc12500"/>
      <w:bookmarkStart w:id="32" w:name="_Toc12065"/>
      <w:bookmarkStart w:id="33" w:name="_Toc15568498"/>
      <w:r>
        <w:rPr>
          <w:rFonts w:hint="eastAsia" w:ascii="宋体" w:hAnsi="宋体" w:eastAsia="宋体" w:cs="宋体"/>
          <w:b/>
          <w:bCs w:val="0"/>
          <w:color w:val="auto"/>
          <w:kern w:val="0"/>
          <w:sz w:val="22"/>
          <w:szCs w:val="22"/>
          <w:highlight w:val="none"/>
          <w:u w:val="none"/>
          <w:lang w:val="en-US" w:eastAsia="zh-CN"/>
        </w:rPr>
        <w:t>六、安全生产责任认定</w:t>
      </w:r>
      <w:bookmarkEnd w:id="30"/>
      <w:bookmarkEnd w:id="31"/>
      <w:bookmarkEnd w:id="32"/>
      <w:bookmarkEnd w:id="33"/>
    </w:p>
    <w:p w14:paraId="7FE811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中标（成交）供应商应对全部现场作业、所有实施方法以及全部项目的完备性、稳定性和安全性承担全部责任。中标（成交）供应商负责解决在实施过程中发生的一切争议（包括但不限于结算纠纷、拖欠民工工资纠纷、劳动争议纠纷、人身损害纠纷），承担解决争议的费用或责任。中标（成交）供应商保证不会因为该等争议影响到项目进度、项目质量以及项目交付。</w:t>
      </w:r>
    </w:p>
    <w:p w14:paraId="6F11206C">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七、履约保证金</w:t>
      </w:r>
    </w:p>
    <w:p w14:paraId="1241132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76D5AB5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p>
    <w:p w14:paraId="2B031CFF">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八、合同价款支付</w:t>
      </w:r>
    </w:p>
    <w:p w14:paraId="7ED56210">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合同采用三方合同形式，本项目的建设单位为泰顺县农业农村局。</w:t>
      </w:r>
    </w:p>
    <w:p w14:paraId="32883BE9">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5BC39D4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1A9EEBB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23473ED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098EA26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预付款支付比例或金额：合同价款总额的30%(由招标人根据项目实际情况及资金情况分批支付)。</w:t>
      </w:r>
    </w:p>
    <w:p w14:paraId="10287A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预付款支付期限：合同生效后，主要人员、机械设备进场并经本项目建设单位（泰顺县农业农村局）、采购人、监理单位确认后，建设单位向中标（成交）供应商预付合同价款总额的30%。</w:t>
      </w:r>
    </w:p>
    <w:p w14:paraId="0C2EECA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4DA8F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支付金额经监理单位签发和建设单位、采购人审核后，建设单位向中标（成交）供应商支付经核实的工程款，支付比例为审核签发后工程量造价的85%，当本工程进度款支付至合同价的85%时，将停止支付工程进度款。待宜机化改造部分项目竣工验收合格后并办理竣工结算，经相关单位审定并经城建档案馆备案，付至最终审定价款的98.5%后，扣留结算造价1.5%保修金。缺陷责任期满，经验收无缺陷后，全部质量保修金一次性退还（质量保修金不计息）。</w:t>
      </w:r>
    </w:p>
    <w:p w14:paraId="42861A5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2.说明:（1）对于满足合同支付约定条件的，采购人于收到中标方开具的正式税务发票后15日内予以支付相应合同价款。（2）若为联合体中标的，本项目所有费用拨付至中标方牵头人基本账户。</w:t>
      </w:r>
    </w:p>
    <w:p w14:paraId="7146EF6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16F092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D902A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2B335D1">
      <w:pPr>
        <w:keepNext w:val="0"/>
        <w:keepLines w:val="0"/>
        <w:pageBreakBefore w:val="0"/>
        <w:widowControl/>
        <w:kinsoku/>
        <w:wordWrap/>
        <w:overflowPunct/>
        <w:topLinePunct w:val="0"/>
        <w:autoSpaceDE/>
        <w:autoSpaceDN/>
        <w:bidi w:val="0"/>
        <w:adjustRightInd/>
        <w:snapToGrid w:val="0"/>
        <w:spacing w:line="500" w:lineRule="exact"/>
        <w:ind w:firstLine="562" w:firstLineChars="200"/>
        <w:jc w:val="center"/>
        <w:textAlignment w:val="auto"/>
        <w:rPr>
          <w:rFonts w:hint="eastAsia" w:ascii="仿宋" w:hAnsi="仿宋" w:eastAsia="仿宋" w:cs="仿宋"/>
          <w:b/>
          <w:bCs w:val="0"/>
          <w:color w:val="auto"/>
          <w:kern w:val="0"/>
          <w:sz w:val="28"/>
          <w:szCs w:val="28"/>
          <w:highlight w:val="none"/>
          <w:lang w:val="en-US" w:eastAsia="zh-CN"/>
        </w:rPr>
      </w:pPr>
    </w:p>
    <w:p w14:paraId="7A75E745">
      <w:pPr>
        <w:pStyle w:val="12"/>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left"/>
        <w:textAlignment w:val="auto"/>
        <w:outlineLvl w:val="0"/>
        <w:rPr>
          <w:rFonts w:hint="default"/>
          <w:color w:val="auto"/>
          <w:sz w:val="22"/>
          <w:szCs w:val="22"/>
          <w:highlight w:val="none"/>
          <w:lang w:val="en-US" w:eastAsia="zh-CN"/>
        </w:rPr>
        <w:sectPr>
          <w:footerReference r:id="rId8" w:type="first"/>
          <w:footerReference r:id="rId7" w:type="default"/>
          <w:pgSz w:w="11906" w:h="16838"/>
          <w:pgMar w:top="1440" w:right="1361" w:bottom="1276" w:left="1361" w:header="851" w:footer="992" w:gutter="0"/>
          <w:pgNumType w:fmt="decimal" w:start="1"/>
          <w:cols w:space="720" w:num="1"/>
          <w:titlePg/>
          <w:docGrid w:linePitch="312" w:charSpace="0"/>
        </w:sectPr>
      </w:pPr>
    </w:p>
    <w:p w14:paraId="3AB74379">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rPr>
        <w:t>第</w:t>
      </w:r>
      <w:r>
        <w:rPr>
          <w:rFonts w:hint="eastAsia" w:ascii="宋体" w:hAnsi="宋体" w:cs="宋体"/>
          <w:b/>
          <w:color w:val="auto"/>
          <w:sz w:val="32"/>
          <w:szCs w:val="32"/>
          <w:highlight w:val="none"/>
          <w:lang w:val="zh-CN"/>
        </w:rPr>
        <w:t>三部分</w:t>
      </w:r>
      <w:r>
        <w:rPr>
          <w:rFonts w:hint="eastAsia" w:ascii="宋体" w:hAnsi="宋体" w:cs="宋体"/>
          <w:b/>
          <w:color w:val="auto"/>
          <w:sz w:val="32"/>
          <w:szCs w:val="32"/>
          <w:highlight w:val="none"/>
        </w:rPr>
        <w:t>、</w:t>
      </w:r>
      <w:r>
        <w:rPr>
          <w:rFonts w:hint="eastAsia" w:ascii="宋体" w:hAnsi="宋体" w:cs="宋体"/>
          <w:b/>
          <w:color w:val="auto"/>
          <w:sz w:val="32"/>
          <w:szCs w:val="32"/>
          <w:highlight w:val="none"/>
          <w:lang w:val="zh-CN"/>
        </w:rPr>
        <w:t>供应商须知</w:t>
      </w:r>
      <w:bookmarkEnd w:id="17"/>
    </w:p>
    <w:p w14:paraId="7256F84E">
      <w:pPr>
        <w:tabs>
          <w:tab w:val="left" w:pos="1069"/>
          <w:tab w:val="left" w:pos="2352"/>
        </w:tabs>
        <w:autoSpaceDE w:val="0"/>
        <w:autoSpaceDN w:val="0"/>
        <w:adjustRightInd w:val="0"/>
        <w:spacing w:line="450" w:lineRule="atLeast"/>
        <w:ind w:firstLine="442" w:firstLineChars="200"/>
        <w:rPr>
          <w:rFonts w:ascii="宋体" w:hAnsi="宋体" w:cs="宋体"/>
          <w:b/>
          <w:color w:val="auto"/>
          <w:sz w:val="22"/>
          <w:highlight w:val="none"/>
          <w:lang w:val="zh-CN"/>
        </w:rPr>
      </w:pPr>
      <w:bookmarkStart w:id="34" w:name="_Toc9317_WPSOffice_Level2"/>
      <w:r>
        <w:rPr>
          <w:rFonts w:hint="eastAsia" w:ascii="宋体" w:hAnsi="宋体" w:cs="宋体"/>
          <w:b/>
          <w:color w:val="auto"/>
          <w:sz w:val="22"/>
          <w:highlight w:val="none"/>
          <w:lang w:val="zh-CN"/>
        </w:rPr>
        <w:t>一、说明</w:t>
      </w:r>
      <w:bookmarkEnd w:id="34"/>
    </w:p>
    <w:p w14:paraId="1A7C9263">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zh-CN"/>
        </w:rPr>
        <w:t>本次采购工作是按照《中华人民共和国政府采购法》、《政府采购货物和服务招标投标管理办法》、《政府采购竞争性磋商采购方式管理暂行办法》、财政部关于政府采购竞争性磋商采购方式管理暂行办法有关问题的补充通知（财库〔2015〕124号）及相关法律规章组织和实施。</w:t>
      </w:r>
    </w:p>
    <w:p w14:paraId="2549121E">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Cs/>
          <w:color w:val="auto"/>
          <w:sz w:val="22"/>
          <w:highlight w:val="none"/>
        </w:rPr>
        <w:t>供应商必须对所投标项全部内容进行报价</w:t>
      </w:r>
      <w:r>
        <w:rPr>
          <w:rFonts w:hint="eastAsia" w:ascii="宋体" w:hAnsi="宋体" w:cs="宋体"/>
          <w:color w:val="auto"/>
          <w:sz w:val="22"/>
          <w:highlight w:val="none"/>
        </w:rPr>
        <w:t>，只对部分内容进行报价的供应商将按无效投标处理。</w:t>
      </w:r>
    </w:p>
    <w:p w14:paraId="24AE89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3.无论投标过程中的作法和结果如何，供应商自行承担投标活动中所发生的全部费用；采购人有权选择供应商的供货和服务范围。</w:t>
      </w:r>
    </w:p>
    <w:p w14:paraId="1703E8AC">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4.安全管理</w:t>
      </w:r>
    </w:p>
    <w:p w14:paraId="62A03AE9">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在招标及合同执行过程中，供应商应承担由于其行为所造成的人身伤害、财产损失或损坏的责任，无论何种原因所造成，采购人均不负责。</w:t>
      </w:r>
    </w:p>
    <w:p w14:paraId="7D822B06">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5.知识产权</w:t>
      </w:r>
    </w:p>
    <w:p w14:paraId="6FB7B078">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5.1供应商应保证，采购人在中华人民共和国使用货物或服务的任何一部分时，免受第三方提出侵犯其专利权、商标权或其它知识产权的起诉。</w:t>
      </w:r>
    </w:p>
    <w:p w14:paraId="1512C810">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5.2投标人应对采购人在使用该服务时所涉及到的专利权负责，不损害采购人的利益。</w:t>
      </w:r>
    </w:p>
    <w:p w14:paraId="4BB99D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5.3报价应包括所有应支付的对专利权和版权、设计或其他知识产权而需要向其他方支付的版税。</w:t>
      </w:r>
    </w:p>
    <w:p w14:paraId="0E8236A2">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5.4投标人提供的服务中如使用其他公司的相关专利，应在标书中出示相关授权，如未出示但使用了其他公司的专利，导致供应商中标(成交)而引起相关诉讼，由投标人承担。</w:t>
      </w:r>
    </w:p>
    <w:p w14:paraId="5077902F">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6.</w:t>
      </w:r>
      <w:r>
        <w:rPr>
          <w:rFonts w:hint="eastAsia" w:ascii="宋体" w:hAnsi="宋体" w:cs="宋体"/>
          <w:color w:val="auto"/>
          <w:sz w:val="22"/>
          <w:highlight w:val="none"/>
          <w:lang w:val="zh-CN"/>
        </w:rPr>
        <w:t>单位负责人为同一人或者存在直接控股、管理关系的不同供应商，不得参加同一合同项下的政府采购活动。如在评标过程中发现供应商间存在上述关系，评审小组可以对存在上述关系的供应商做无效投标处理。</w:t>
      </w:r>
    </w:p>
    <w:p w14:paraId="4D3574AA">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7.</w:t>
      </w:r>
      <w:r>
        <w:rPr>
          <w:rFonts w:hint="eastAsia" w:ascii="宋体" w:hAnsi="宋体" w:cs="宋体"/>
          <w:color w:val="auto"/>
          <w:sz w:val="22"/>
          <w:highlight w:val="none"/>
          <w:lang w:val="zh-CN"/>
        </w:rPr>
        <w:t>为采购项目提供整体设计、规范编制或者项目管理、监理、检测等服务的供应商，不得再参加该采购项目的其他采购活动。</w:t>
      </w:r>
    </w:p>
    <w:p w14:paraId="1526EEEB">
      <w:pPr>
        <w:tabs>
          <w:tab w:val="left" w:pos="1069"/>
          <w:tab w:val="left" w:pos="2352"/>
        </w:tabs>
        <w:autoSpaceDE w:val="0"/>
        <w:autoSpaceDN w:val="0"/>
        <w:adjustRightInd w:val="0"/>
        <w:spacing w:line="400" w:lineRule="atLeast"/>
        <w:ind w:firstLine="440" w:firstLineChars="200"/>
        <w:textAlignment w:val="bottom"/>
        <w:rPr>
          <w:rFonts w:ascii="宋体" w:hAnsi="宋体" w:cs="宋体"/>
          <w:b/>
          <w:color w:val="auto"/>
          <w:sz w:val="22"/>
          <w:highlight w:val="none"/>
        </w:rPr>
      </w:pPr>
      <w:r>
        <w:rPr>
          <w:rFonts w:hint="eastAsia" w:ascii="宋体" w:hAnsi="宋体" w:cs="宋体"/>
          <w:color w:val="auto"/>
          <w:sz w:val="22"/>
          <w:highlight w:val="none"/>
        </w:rPr>
        <w:t>8</w:t>
      </w:r>
      <w:r>
        <w:rPr>
          <w:rFonts w:hint="eastAsia" w:ascii="宋体" w:hAnsi="宋体" w:cs="宋体"/>
          <w:color w:val="auto"/>
          <w:sz w:val="22"/>
          <w:highlight w:val="none"/>
          <w:lang w:val="zh-CN"/>
        </w:rPr>
        <w:t>.</w:t>
      </w:r>
      <w:r>
        <w:rPr>
          <w:rFonts w:hint="eastAsia" w:ascii="宋体" w:hAnsi="宋体" w:cs="宋体"/>
          <w:b/>
          <w:color w:val="auto"/>
          <w:sz w:val="22"/>
          <w:highlight w:val="none"/>
        </w:rPr>
        <w:t>▲供应商须具有良好的商业信誉：</w:t>
      </w:r>
    </w:p>
    <w:p w14:paraId="02223ED2">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1</w:t>
      </w:r>
      <w:r>
        <w:rPr>
          <w:rFonts w:hint="eastAsia" w:ascii="宋体" w:hAnsi="宋体"/>
          <w:b/>
          <w:color w:val="auto"/>
          <w:sz w:val="22"/>
          <w:highlight w:val="none"/>
          <w:u w:val="single"/>
        </w:rPr>
        <w:t>）供应商在国家企业信用信息公示系统网：（http://www.gsxt.gov.cn/index.html）无严重违法企业记录。</w:t>
      </w:r>
    </w:p>
    <w:p w14:paraId="41582009">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2</w:t>
      </w:r>
      <w:r>
        <w:rPr>
          <w:rFonts w:hint="eastAsia" w:ascii="宋体" w:hAnsi="宋体"/>
          <w:b/>
          <w:color w:val="auto"/>
          <w:sz w:val="22"/>
          <w:highlight w:val="none"/>
          <w:u w:val="single"/>
        </w:rPr>
        <w:t>）供应商在中国执行信息公开网（http://zxgk.court.gov.cn/）无失信信息记录。</w:t>
      </w:r>
    </w:p>
    <w:p w14:paraId="63730096">
      <w:pPr>
        <w:tabs>
          <w:tab w:val="left" w:pos="1069"/>
          <w:tab w:val="left" w:pos="2352"/>
        </w:tabs>
        <w:autoSpaceDE w:val="0"/>
        <w:autoSpaceDN w:val="0"/>
        <w:adjustRightInd w:val="0"/>
        <w:spacing w:line="400" w:lineRule="atLeast"/>
        <w:ind w:firstLine="442" w:firstLineChars="200"/>
        <w:textAlignment w:val="bottom"/>
        <w:rPr>
          <w:rFonts w:ascii="宋体" w:hAnsi="宋体" w:cs="宋体"/>
          <w:b/>
          <w:color w:val="auto"/>
          <w:sz w:val="22"/>
          <w:highlight w:val="none"/>
          <w:u w:val="single"/>
        </w:rPr>
      </w:pPr>
      <w:r>
        <w:rPr>
          <w:rFonts w:ascii="宋体" w:hAnsi="宋体"/>
          <w:b/>
          <w:color w:val="auto"/>
          <w:sz w:val="22"/>
          <w:highlight w:val="none"/>
          <w:u w:val="single"/>
        </w:rPr>
        <w:t>3</w:t>
      </w:r>
      <w:r>
        <w:rPr>
          <w:rFonts w:hint="eastAsia" w:ascii="宋体" w:hAnsi="宋体"/>
          <w:b/>
          <w:color w:val="auto"/>
          <w:sz w:val="22"/>
          <w:highlight w:val="none"/>
          <w:u w:val="single"/>
        </w:rPr>
        <w:t>）供应商在中国政府采购网（</w:t>
      </w:r>
      <w:r>
        <w:rPr>
          <w:rFonts w:ascii="宋体" w:hAnsi="宋体"/>
          <w:b/>
          <w:color w:val="auto"/>
          <w:sz w:val="22"/>
          <w:highlight w:val="none"/>
          <w:u w:val="single"/>
        </w:rPr>
        <w:t>http://www.ccgp.gov.cn/cr/list</w:t>
      </w:r>
      <w:r>
        <w:rPr>
          <w:rFonts w:hint="eastAsia" w:ascii="宋体" w:hAnsi="宋体"/>
          <w:b/>
          <w:color w:val="auto"/>
          <w:sz w:val="22"/>
          <w:highlight w:val="none"/>
          <w:u w:val="single"/>
        </w:rPr>
        <w:t>）无严重违法行为记录</w:t>
      </w:r>
      <w:r>
        <w:rPr>
          <w:rFonts w:hint="eastAsia" w:ascii="宋体" w:hAnsi="宋体" w:cs="宋体"/>
          <w:b/>
          <w:color w:val="auto"/>
          <w:sz w:val="22"/>
          <w:highlight w:val="none"/>
          <w:u w:val="single"/>
        </w:rPr>
        <w:t>。</w:t>
      </w:r>
    </w:p>
    <w:p w14:paraId="51D8C6FB">
      <w:pPr>
        <w:widowControl/>
        <w:tabs>
          <w:tab w:val="left" w:pos="1069"/>
          <w:tab w:val="left" w:pos="2352"/>
        </w:tabs>
        <w:snapToGrid w:val="0"/>
        <w:spacing w:line="400" w:lineRule="atLeast"/>
        <w:ind w:firstLine="442" w:firstLineChars="200"/>
        <w:jc w:val="left"/>
        <w:rPr>
          <w:rFonts w:ascii="宋体" w:hAnsi="宋体" w:cs="宋体"/>
          <w:b/>
          <w:color w:val="auto"/>
          <w:sz w:val="22"/>
          <w:highlight w:val="none"/>
          <w:u w:val="single"/>
        </w:rPr>
      </w:pPr>
      <w:r>
        <w:rPr>
          <w:rFonts w:hint="eastAsia" w:ascii="宋体" w:hAnsi="宋体" w:cs="宋体"/>
          <w:b/>
          <w:color w:val="auto"/>
          <w:sz w:val="22"/>
          <w:highlight w:val="none"/>
          <w:u w:val="single"/>
        </w:rPr>
        <w:t>4）未被各级财政部门列入政府采购黑名单或被各级财政部门禁止参加政府采购项目投标。</w:t>
      </w:r>
      <w:r>
        <w:rPr>
          <w:rFonts w:hint="eastAsia" w:ascii="宋体" w:hAnsi="宋体" w:cs="宋体"/>
          <w:color w:val="auto"/>
          <w:sz w:val="22"/>
          <w:highlight w:val="none"/>
        </w:rPr>
        <w:t>▲</w:t>
      </w:r>
      <w:r>
        <w:rPr>
          <w:rFonts w:hint="eastAsia" w:ascii="宋体" w:hAnsi="宋体" w:cs="宋体"/>
          <w:b/>
          <w:color w:val="auto"/>
          <w:sz w:val="22"/>
          <w:highlight w:val="none"/>
          <w:u w:val="single"/>
        </w:rPr>
        <w:t>如供应商有上述情形并参与本项目投标的，一经查实，其投标做无效投标处理。</w:t>
      </w:r>
    </w:p>
    <w:p w14:paraId="09DD686B">
      <w:pPr>
        <w:widowControl/>
        <w:tabs>
          <w:tab w:val="left" w:pos="1069"/>
          <w:tab w:val="left" w:pos="2352"/>
        </w:tabs>
        <w:snapToGrid w:val="0"/>
        <w:spacing w:line="380" w:lineRule="exact"/>
        <w:ind w:firstLine="442" w:firstLineChars="200"/>
        <w:rPr>
          <w:rFonts w:ascii="宋体" w:hAnsi="宋体" w:cs="宋体"/>
          <w:color w:val="auto"/>
          <w:sz w:val="22"/>
          <w:highlight w:val="none"/>
          <w:u w:val="single"/>
        </w:rPr>
      </w:pPr>
      <w:r>
        <w:rPr>
          <w:rFonts w:hint="eastAsia" w:ascii="宋体" w:hAnsi="宋体" w:cs="宋体"/>
          <w:b/>
          <w:color w:val="auto"/>
          <w:sz w:val="22"/>
          <w:highlight w:val="none"/>
        </w:rPr>
        <w:t>9.</w:t>
      </w:r>
      <w:r>
        <w:rPr>
          <w:rFonts w:hint="eastAsia" w:ascii="宋体" w:hAnsi="宋体" w:cs="宋体"/>
          <w:color w:val="auto"/>
          <w:sz w:val="22"/>
          <w:highlight w:val="none"/>
          <w:u w:val="single"/>
        </w:rPr>
        <w:t>本项目采用资格后审，符合资格要求的供应商均可在本公告附件下载竞争性磋商文件，并按竞争性磋商文件规定的时间、地点递交投标（响应）文件（竞争性磋商文件下载网址：浙江政府采购网（http://zfcg.czt.zj.gov.cn/）,竞争性磋商文件如有补充更正均见浙江政府采购网http://zfcg.czt.zj.gov.cn//。供应商须在投标截止前自行查看是否有补充、更正文件，并按补充、更正文件要求投标，否则责任自负。</w:t>
      </w:r>
    </w:p>
    <w:p w14:paraId="5ECE4E00">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rPr>
        <w:t>10</w:t>
      </w:r>
      <w:r>
        <w:rPr>
          <w:rFonts w:hint="eastAsia" w:ascii="宋体" w:hAnsi="宋体" w:cs="宋体"/>
          <w:color w:val="auto"/>
          <w:sz w:val="22"/>
          <w:highlight w:val="none"/>
          <w:lang w:val="zh-CN"/>
        </w:rPr>
        <w:t>.▲本项目采用竞争性磋商采购方式进行采购，在磋商过程中，评审小组可以根据竞争性磋商文件和磋商情况实质性变动采购需求中的技术、服务要求以及合同草案条款，但不得变动竞争性磋商文件中的其他内容。已提交投标（响应）文件的供应商，在提交最终报价之前，可以根据磋商情况退出磋商。</w:t>
      </w:r>
    </w:p>
    <w:p w14:paraId="7F9905F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5" w:name="_Toc6226_WPSOffice_Level2"/>
      <w:r>
        <w:rPr>
          <w:rFonts w:hint="eastAsia" w:ascii="宋体" w:hAnsi="宋体" w:cs="宋体"/>
          <w:b/>
          <w:color w:val="auto"/>
          <w:sz w:val="22"/>
          <w:highlight w:val="none"/>
        </w:rPr>
        <w:t>二</w:t>
      </w:r>
      <w:r>
        <w:rPr>
          <w:rFonts w:hint="eastAsia" w:ascii="宋体" w:hAnsi="宋体" w:cs="宋体"/>
          <w:b/>
          <w:color w:val="auto"/>
          <w:sz w:val="22"/>
          <w:highlight w:val="none"/>
          <w:lang w:val="zh-CN"/>
        </w:rPr>
        <w:t>、竞争性磋商文件</w:t>
      </w:r>
      <w:bookmarkEnd w:id="35"/>
    </w:p>
    <w:p w14:paraId="557139DE">
      <w:pPr>
        <w:tabs>
          <w:tab w:val="left" w:pos="1069"/>
          <w:tab w:val="left" w:pos="2352"/>
        </w:tabs>
        <w:spacing w:line="400" w:lineRule="atLeast"/>
        <w:ind w:firstLine="440" w:firstLineChars="200"/>
        <w:rPr>
          <w:rFonts w:ascii="宋体" w:hAnsi="宋体" w:cs="宋体"/>
          <w:color w:val="auto"/>
          <w:sz w:val="22"/>
          <w:highlight w:val="none"/>
        </w:rPr>
      </w:pPr>
      <w:bookmarkStart w:id="36" w:name="_Toc24610_WPSOffice_Level3"/>
      <w:r>
        <w:rPr>
          <w:rFonts w:hint="eastAsia" w:ascii="宋体" w:hAnsi="宋体" w:cs="宋体"/>
          <w:color w:val="auto"/>
          <w:sz w:val="22"/>
          <w:highlight w:val="none"/>
          <w:lang w:val="zh-CN"/>
        </w:rPr>
        <w:t>1.竞争性磋商文件</w:t>
      </w:r>
      <w:bookmarkEnd w:id="36"/>
    </w:p>
    <w:p w14:paraId="04566F6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竞争性磋商文件的发放</w:t>
      </w:r>
    </w:p>
    <w:p w14:paraId="0A2E4136">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本项目投标供应商直接</w:t>
      </w:r>
      <w:r>
        <w:rPr>
          <w:rFonts w:hint="eastAsia" w:ascii="宋体" w:hAnsi="宋体" w:cs="宋体"/>
          <w:color w:val="auto"/>
          <w:sz w:val="22"/>
          <w:highlight w:val="none"/>
        </w:rPr>
        <w:t>在</w:t>
      </w:r>
      <w:r>
        <w:rPr>
          <w:rFonts w:hint="eastAsia" w:ascii="宋体" w:hAnsi="宋体" w:cs="宋体"/>
          <w:color w:val="auto"/>
          <w:sz w:val="22"/>
          <w:highlight w:val="none"/>
          <w:lang w:val="zh-CN"/>
        </w:rPr>
        <w:t>网上</w:t>
      </w:r>
      <w:r>
        <w:rPr>
          <w:rFonts w:hint="eastAsia" w:ascii="宋体" w:hAnsi="宋体" w:cs="宋体"/>
          <w:color w:val="auto"/>
          <w:sz w:val="22"/>
          <w:highlight w:val="none"/>
        </w:rPr>
        <w:t>下载</w:t>
      </w:r>
      <w:r>
        <w:rPr>
          <w:rFonts w:hint="eastAsia" w:ascii="宋体" w:hAnsi="宋体" w:cs="宋体"/>
          <w:color w:val="auto"/>
          <w:sz w:val="22"/>
          <w:highlight w:val="none"/>
          <w:lang w:val="zh-CN"/>
        </w:rPr>
        <w:t>竞争性磋商文件。</w:t>
      </w:r>
    </w:p>
    <w:p w14:paraId="79967E33">
      <w:pPr>
        <w:tabs>
          <w:tab w:val="left" w:pos="1069"/>
          <w:tab w:val="left" w:pos="2352"/>
        </w:tabs>
        <w:autoSpaceDE w:val="0"/>
        <w:autoSpaceDN w:val="0"/>
        <w:adjustRightInd w:val="0"/>
        <w:spacing w:line="400" w:lineRule="atLeast"/>
        <w:ind w:firstLine="440" w:firstLineChars="200"/>
        <w:textAlignment w:val="bottom"/>
        <w:outlineLvl w:val="1"/>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竞争性磋商文件约束力</w:t>
      </w:r>
    </w:p>
    <w:p w14:paraId="4F8172DF">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u w:val="single"/>
          <w:lang w:val="zh-CN"/>
        </w:rPr>
      </w:pPr>
      <w:r>
        <w:rPr>
          <w:rFonts w:hint="eastAsia" w:ascii="宋体" w:hAnsi="宋体" w:cs="宋体"/>
          <w:b/>
          <w:color w:val="auto"/>
          <w:sz w:val="22"/>
          <w:highlight w:val="none"/>
          <w:u w:val="single"/>
          <w:lang w:val="zh-CN"/>
        </w:rPr>
        <w:t>供应商</w:t>
      </w:r>
      <w:r>
        <w:rPr>
          <w:rFonts w:hint="eastAsia" w:ascii="宋体" w:hAnsi="宋体" w:cs="宋体"/>
          <w:b/>
          <w:color w:val="auto"/>
          <w:sz w:val="22"/>
          <w:highlight w:val="none"/>
          <w:u w:val="single"/>
        </w:rPr>
        <w:t>一旦获取了本项目竞争性磋商文件，在质疑期内未提出质疑，并参加投标，即被认为接受了本竞争性磋商文件中所有条款和规定。</w:t>
      </w:r>
    </w:p>
    <w:p w14:paraId="43993DC6">
      <w:pPr>
        <w:tabs>
          <w:tab w:val="left" w:pos="1069"/>
          <w:tab w:val="left" w:pos="2352"/>
        </w:tabs>
        <w:autoSpaceDE w:val="0"/>
        <w:autoSpaceDN w:val="0"/>
        <w:adjustRightInd w:val="0"/>
        <w:spacing w:line="400" w:lineRule="atLeast"/>
        <w:ind w:firstLine="660" w:firstLineChars="300"/>
        <w:rPr>
          <w:rFonts w:ascii="宋体" w:hAnsi="宋体" w:cs="宋体"/>
          <w:color w:val="auto"/>
          <w:sz w:val="22"/>
          <w:highlight w:val="none"/>
          <w:lang w:val="zh-CN"/>
        </w:rPr>
      </w:pPr>
      <w:bookmarkStart w:id="37" w:name="_Toc9317_WPSOffice_Level3"/>
      <w:r>
        <w:rPr>
          <w:rFonts w:hint="eastAsia" w:ascii="宋体" w:hAnsi="宋体" w:cs="宋体"/>
          <w:color w:val="auto"/>
          <w:sz w:val="22"/>
          <w:highlight w:val="none"/>
          <w:lang w:val="zh-CN"/>
        </w:rPr>
        <w:t>2.竞争性磋商文件的澄清</w:t>
      </w:r>
      <w:bookmarkEnd w:id="37"/>
    </w:p>
    <w:p w14:paraId="7EB4AFEB">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330BB10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bookmarkStart w:id="38" w:name="_Toc6226_WPSOffice_Level3"/>
      <w:r>
        <w:rPr>
          <w:rFonts w:hint="eastAsia" w:ascii="宋体" w:hAnsi="宋体" w:cs="宋体"/>
          <w:color w:val="auto"/>
          <w:sz w:val="22"/>
          <w:highlight w:val="none"/>
          <w:lang w:val="zh-CN"/>
        </w:rPr>
        <w:t>3.竞争性磋商文件的修改</w:t>
      </w:r>
      <w:bookmarkEnd w:id="38"/>
    </w:p>
    <w:p w14:paraId="1516EA79">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3.1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在投标截止时间前，采购人或采购机构有权修改竞争性磋商文件，并通知供应商。补充文件作为竞争性磋商文件的补充和组成部分，对所有供应商均有约束力。</w:t>
      </w:r>
    </w:p>
    <w:p w14:paraId="2727AFA1">
      <w:pPr>
        <w:tabs>
          <w:tab w:val="left" w:pos="1069"/>
          <w:tab w:val="left" w:pos="2352"/>
        </w:tabs>
        <w:autoSpaceDE w:val="0"/>
        <w:autoSpaceDN w:val="0"/>
        <w:adjustRightIn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3.2</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为使供应商有足够的时间按竞争性磋商文件要求修正投标（响应）文件，采购人按相关规定推迟投标截止时间和开标时间，并将此变更通知放至相关网站公示。</w:t>
      </w:r>
    </w:p>
    <w:p w14:paraId="6181BC2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9" w:name="_Toc4378_WPSOffice_Level2"/>
      <w:r>
        <w:rPr>
          <w:rFonts w:hint="eastAsia" w:ascii="宋体" w:hAnsi="宋体" w:cs="宋体"/>
          <w:b/>
          <w:color w:val="auto"/>
          <w:sz w:val="22"/>
          <w:highlight w:val="none"/>
        </w:rPr>
        <w:t>三</w:t>
      </w:r>
      <w:r>
        <w:rPr>
          <w:rFonts w:hint="eastAsia" w:ascii="宋体" w:hAnsi="宋体" w:cs="宋体"/>
          <w:b/>
          <w:color w:val="auto"/>
          <w:sz w:val="22"/>
          <w:highlight w:val="none"/>
          <w:lang w:val="zh-CN"/>
        </w:rPr>
        <w:t>、</w:t>
      </w:r>
      <w:bookmarkEnd w:id="39"/>
      <w:r>
        <w:rPr>
          <w:rFonts w:hint="eastAsia" w:ascii="宋体" w:hAnsi="宋体" w:cs="宋体"/>
          <w:b/>
          <w:color w:val="auto"/>
          <w:sz w:val="22"/>
          <w:highlight w:val="none"/>
          <w:lang w:val="zh-CN"/>
        </w:rPr>
        <w:t>投标（响应）文件</w:t>
      </w:r>
    </w:p>
    <w:p w14:paraId="07C7E4A3">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1.投标（响应）文件</w:t>
      </w:r>
    </w:p>
    <w:p w14:paraId="49775AC3">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供应商应仔细阅读竞争性磋商文件中的所有内容，按照竞争性磋商文件要求，详细编制投标（响应）文件。并对竞争性磋商文件的要求做出实质上响应。实质上响应的报价应该是与竞争性磋商文件要求没有重大偏离的投标（响应）文件。未实质上响应的投标（响应）文件将被拒绝，但允许供应商在基本满足采购要求的前提下出现的微小差异。</w:t>
      </w:r>
    </w:p>
    <w:p w14:paraId="7C9F1B2A">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供应商必须按竞争性磋商文件的要求提供相关技术参数、资料，包括采用的计量单位，并保证投标（响应）文件的正确性和真实性。投标（响应）文件全部内容应保持一致，否则可能导致不利于其投标的评定甚至被拒绝。技术和商务如有偏离均应填写偏离表。</w:t>
      </w:r>
    </w:p>
    <w:p w14:paraId="4B23D444">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1.3</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供应商应仔细阅读竞争性磋商文件中的所有内容，按照竞争性磋商文件要求，详细编制投标（响应）文件，所有文件资料必须是针对本次投标。不按竞争性磋商文件的要求提供的投标（响应）文件可能导致被拒绝。</w:t>
      </w:r>
    </w:p>
    <w:p w14:paraId="319E7EA5">
      <w:pPr>
        <w:tabs>
          <w:tab w:val="left" w:pos="1069"/>
          <w:tab w:val="left" w:pos="2352"/>
        </w:tabs>
        <w:autoSpaceDE w:val="0"/>
        <w:autoSpaceDN w:val="0"/>
        <w:adjustRightInd w:val="0"/>
        <w:snapToGri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2.投标（响应）文件的组成</w:t>
      </w:r>
    </w:p>
    <w:p w14:paraId="2AF77A12">
      <w:pPr>
        <w:tabs>
          <w:tab w:val="left" w:pos="1069"/>
          <w:tab w:val="left" w:pos="2352"/>
        </w:tabs>
        <w:autoSpaceDE w:val="0"/>
        <w:autoSpaceDN w:val="0"/>
        <w:adjustRightInd w:val="0"/>
        <w:snapToGrid w:val="0"/>
        <w:spacing w:line="400" w:lineRule="atLeast"/>
        <w:ind w:firstLine="442" w:firstLineChars="200"/>
        <w:rPr>
          <w:rFonts w:ascii="宋体" w:hAnsi="宋体" w:cs="宋体"/>
          <w:b/>
          <w:bCs/>
          <w:color w:val="auto"/>
          <w:sz w:val="22"/>
          <w:highlight w:val="none"/>
          <w:u w:val="single"/>
          <w:lang w:val="zh-CN"/>
        </w:rPr>
      </w:pPr>
      <w:r>
        <w:rPr>
          <w:rFonts w:hint="eastAsia" w:ascii="宋体" w:hAnsi="宋体" w:cs="宋体"/>
          <w:b/>
          <w:bCs/>
          <w:color w:val="auto"/>
          <w:sz w:val="22"/>
          <w:highlight w:val="none"/>
          <w:u w:val="single"/>
        </w:rPr>
        <w:t>投标文件由《资格文件》《商务技术文件》《报价文件》三部分组成。</w:t>
      </w:r>
    </w:p>
    <w:p w14:paraId="32EC5C91">
      <w:pPr>
        <w:tabs>
          <w:tab w:val="left" w:pos="1069"/>
          <w:tab w:val="left" w:pos="2352"/>
        </w:tabs>
        <w:autoSpaceDE w:val="0"/>
        <w:autoSpaceDN w:val="0"/>
        <w:adjustRightInd w:val="0"/>
        <w:snapToGri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2.1</w:t>
      </w:r>
      <w:r>
        <w:rPr>
          <w:rFonts w:hint="eastAsia" w:ascii="宋体" w:hAnsi="宋体" w:cs="宋体"/>
          <w:color w:val="auto"/>
          <w:sz w:val="22"/>
          <w:highlight w:val="none"/>
        </w:rPr>
        <w:t xml:space="preserve"> </w:t>
      </w:r>
      <w:r>
        <w:rPr>
          <w:rFonts w:hint="eastAsia" w:ascii="宋体" w:hAnsi="宋体" w:cs="宋体"/>
          <w:b/>
          <w:bCs/>
          <w:color w:val="auto"/>
          <w:sz w:val="22"/>
          <w:highlight w:val="none"/>
        </w:rPr>
        <w:t>《报价文件》</w:t>
      </w:r>
      <w:r>
        <w:rPr>
          <w:rFonts w:hint="eastAsia" w:ascii="宋体" w:hAnsi="宋体" w:cs="宋体"/>
          <w:b/>
          <w:bCs/>
          <w:color w:val="auto"/>
          <w:sz w:val="22"/>
          <w:highlight w:val="none"/>
          <w:lang w:val="zh-CN"/>
        </w:rPr>
        <w:t>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12CB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tcPr>
          <w:p w14:paraId="1849426B">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bookmarkStart w:id="40" w:name="_Toc132122113"/>
            <w:bookmarkStart w:id="41" w:name="_Toc132122410"/>
            <w:r>
              <w:rPr>
                <w:rFonts w:hint="eastAsia" w:ascii="宋体" w:hAnsi="宋体" w:cs="宋体"/>
                <w:color w:val="auto"/>
                <w:sz w:val="22"/>
                <w:highlight w:val="none"/>
                <w:lang w:val="zh-CN"/>
              </w:rPr>
              <w:t>序号</w:t>
            </w:r>
          </w:p>
        </w:tc>
        <w:tc>
          <w:tcPr>
            <w:tcW w:w="8736" w:type="dxa"/>
          </w:tcPr>
          <w:p w14:paraId="14D4C48C">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w:t>
            </w:r>
            <w:r>
              <w:rPr>
                <w:rFonts w:hint="eastAsia" w:ascii="宋体" w:hAnsi="宋体" w:cs="宋体"/>
                <w:color w:val="auto"/>
                <w:sz w:val="22"/>
                <w:highlight w:val="none"/>
                <w:lang w:val="en-US" w:eastAsia="zh-CN"/>
              </w:rPr>
              <w:t>1</w:t>
            </w:r>
            <w:r>
              <w:rPr>
                <w:rFonts w:hint="eastAsia" w:ascii="宋体" w:hAnsi="宋体" w:cs="宋体"/>
                <w:color w:val="auto"/>
                <w:sz w:val="22"/>
                <w:highlight w:val="none"/>
                <w:lang w:val="zh-CN"/>
              </w:rPr>
              <w:t>项供应商必须提供，否则不能通过符合性审查的，责任自负）</w:t>
            </w:r>
          </w:p>
        </w:tc>
      </w:tr>
      <w:tr w14:paraId="66F8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14:paraId="550C2B2C">
            <w:pPr>
              <w:numPr>
                <w:ilvl w:val="0"/>
                <w:numId w:val="2"/>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36" w:type="dxa"/>
          </w:tcPr>
          <w:p w14:paraId="6A68279F">
            <w:pPr>
              <w:tabs>
                <w:tab w:val="left" w:pos="1069"/>
                <w:tab w:val="left" w:pos="2352"/>
              </w:tabs>
              <w:autoSpaceDE w:val="0"/>
              <w:autoSpaceDN w:val="0"/>
              <w:adjustRightInd w:val="0"/>
              <w:spacing w:line="430" w:lineRule="atLeast"/>
              <w:textAlignment w:val="bottom"/>
              <w:rPr>
                <w:rFonts w:ascii="宋体" w:hAnsi="宋体" w:cs="宋体"/>
                <w:color w:val="auto"/>
                <w:sz w:val="22"/>
                <w:highlight w:val="none"/>
              </w:rPr>
            </w:pPr>
            <w:r>
              <w:rPr>
                <w:rFonts w:hint="eastAsia" w:ascii="宋体" w:hAnsi="宋体" w:cs="宋体"/>
                <w:color w:val="auto"/>
                <w:sz w:val="22"/>
                <w:highlight w:val="none"/>
              </w:rPr>
              <w:t>开标（报价）一览表（首次报价）（附件一）</w:t>
            </w:r>
          </w:p>
        </w:tc>
      </w:tr>
      <w:bookmarkEnd w:id="40"/>
      <w:bookmarkEnd w:id="41"/>
    </w:tbl>
    <w:p w14:paraId="40B36E77">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2.2 </w:t>
      </w:r>
      <w:r>
        <w:rPr>
          <w:rFonts w:hint="eastAsia" w:ascii="宋体" w:hAnsi="宋体" w:cs="宋体"/>
          <w:b/>
          <w:bCs/>
          <w:color w:val="auto"/>
          <w:sz w:val="22"/>
          <w:highlight w:val="none"/>
        </w:rPr>
        <w:t>《资格文件》组成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2543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45401679">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4DC3D3B8">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w:t>
            </w:r>
            <w:r>
              <w:rPr>
                <w:rFonts w:hint="eastAsia" w:ascii="宋体" w:hAnsi="宋体" w:cs="宋体"/>
                <w:color w:val="auto"/>
                <w:sz w:val="22"/>
                <w:highlight w:val="none"/>
              </w:rPr>
              <w:t>下列项</w:t>
            </w:r>
            <w:r>
              <w:rPr>
                <w:rFonts w:hint="eastAsia" w:ascii="宋体" w:hAnsi="宋体" w:cs="宋体"/>
                <w:color w:val="auto"/>
                <w:sz w:val="22"/>
                <w:highlight w:val="none"/>
                <w:lang w:val="zh-CN"/>
              </w:rPr>
              <w:t>供应商必须提供，否则不能通过符合性审查的，责任自负）</w:t>
            </w:r>
          </w:p>
        </w:tc>
      </w:tr>
      <w:tr w14:paraId="16D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73" w:type="dxa"/>
          </w:tcPr>
          <w:p w14:paraId="54CF6FCB">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214F8AE3">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rPr>
              <w:t>供应商的营业执照、税务登记证（如为多证合一仅需提供营业执照）</w:t>
            </w:r>
            <w:r>
              <w:rPr>
                <w:rFonts w:hint="eastAsia" w:ascii="宋体" w:hAnsi="宋体" w:cs="宋体"/>
                <w:color w:val="auto"/>
                <w:sz w:val="22"/>
                <w:highlight w:val="none"/>
              </w:rPr>
              <w:br w:type="textWrapping"/>
            </w:r>
            <w:r>
              <w:rPr>
                <w:rFonts w:hint="eastAsia" w:ascii="宋体" w:hAnsi="宋体" w:eastAsia="宋体" w:cs="宋体"/>
                <w:b w:val="0"/>
                <w:bCs w:val="0"/>
                <w:color w:val="auto"/>
                <w:sz w:val="22"/>
                <w:szCs w:val="22"/>
                <w:highlight w:val="none"/>
                <w:lang w:val="en-US" w:eastAsia="zh-CN"/>
              </w:rPr>
              <w:t>注：供应商若为事业单位或社会团体的，提供事业单位登记证书或社会团体法人登记证书。</w:t>
            </w:r>
          </w:p>
        </w:tc>
      </w:tr>
      <w:tr w14:paraId="6E41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F43C203">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0753948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Style w:val="36"/>
                <w:rFonts w:hint="eastAsia" w:cs="宋体"/>
                <w:color w:val="auto"/>
                <w:sz w:val="22"/>
                <w:highlight w:val="none"/>
                <w:u w:val="none"/>
              </w:rPr>
              <w:t>符合参加政府采购活动应当具备的一般条件的承诺函（附件</w:t>
            </w:r>
            <w:r>
              <w:rPr>
                <w:rStyle w:val="36"/>
                <w:rFonts w:hint="eastAsia" w:cs="宋体"/>
                <w:color w:val="auto"/>
                <w:sz w:val="22"/>
                <w:highlight w:val="none"/>
                <w:u w:val="none"/>
                <w:lang w:val="en-US" w:eastAsia="zh-CN"/>
              </w:rPr>
              <w:t>二</w:t>
            </w:r>
            <w:r>
              <w:rPr>
                <w:rStyle w:val="36"/>
                <w:rFonts w:hint="eastAsia" w:cs="宋体"/>
                <w:color w:val="auto"/>
                <w:sz w:val="22"/>
                <w:highlight w:val="none"/>
                <w:u w:val="none"/>
              </w:rPr>
              <w:t>）</w:t>
            </w:r>
          </w:p>
        </w:tc>
      </w:tr>
      <w:tr w14:paraId="22CA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C7A9177">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1FB7157C">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供应商“信用中国”(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)；“中国政府采购网”（http://www.ccgp.gov.cn/）信用记录网页截图（招标公告发布之日至投标截止时间前均可）</w:t>
            </w:r>
          </w:p>
        </w:tc>
      </w:tr>
      <w:tr w14:paraId="1184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57D47B1">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EF9C48A">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法定代表人授权书（附件</w:t>
            </w:r>
            <w:r>
              <w:rPr>
                <w:rFonts w:hint="eastAsia" w:ascii="宋体" w:hAnsi="宋体" w:cs="宋体"/>
                <w:color w:val="auto"/>
                <w:sz w:val="22"/>
                <w:highlight w:val="none"/>
                <w:lang w:val="en-US" w:eastAsia="zh-CN"/>
              </w:rPr>
              <w:t>三</w:t>
            </w:r>
            <w:r>
              <w:rPr>
                <w:rFonts w:hint="eastAsia" w:ascii="宋体" w:hAnsi="宋体" w:cs="宋体"/>
                <w:color w:val="auto"/>
                <w:sz w:val="22"/>
                <w:highlight w:val="none"/>
              </w:rPr>
              <w:t>）</w:t>
            </w:r>
          </w:p>
          <w:p w14:paraId="321EF622">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（若是法定代表人直接参与投标的，仅需提供法人代表身份证复印影印件）</w:t>
            </w:r>
          </w:p>
        </w:tc>
      </w:tr>
    </w:tbl>
    <w:p w14:paraId="1903BDFE">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2.3 </w:t>
      </w:r>
      <w:r>
        <w:rPr>
          <w:rFonts w:hint="eastAsia" w:ascii="宋体" w:hAnsi="宋体" w:cs="宋体"/>
          <w:b/>
          <w:bCs/>
          <w:color w:val="auto"/>
          <w:sz w:val="22"/>
          <w:highlight w:val="none"/>
        </w:rPr>
        <w:t>《商务技术文件》组成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3B85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67DEB8A">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02035B92">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内容（▲序号1</w:t>
            </w:r>
            <w:r>
              <w:rPr>
                <w:rFonts w:hint="eastAsia" w:ascii="宋体" w:hAnsi="宋体" w:cs="宋体"/>
                <w:color w:val="auto"/>
                <w:sz w:val="22"/>
                <w:highlight w:val="none"/>
              </w:rPr>
              <w:t>-6</w:t>
            </w:r>
            <w:r>
              <w:rPr>
                <w:rFonts w:hint="eastAsia" w:ascii="宋体" w:hAnsi="宋体" w:cs="宋体"/>
                <w:color w:val="auto"/>
                <w:sz w:val="22"/>
                <w:highlight w:val="none"/>
                <w:lang w:val="zh-CN"/>
              </w:rPr>
              <w:t>项供应商必须提供，否则不能通过符合性审查的，责任自负）</w:t>
            </w:r>
          </w:p>
        </w:tc>
      </w:tr>
      <w:tr w14:paraId="02D2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73" w:type="dxa"/>
          </w:tcPr>
          <w:p w14:paraId="7904480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E804BCD">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报价函（附件</w:t>
            </w:r>
            <w:r>
              <w:rPr>
                <w:rFonts w:hint="eastAsia" w:ascii="宋体" w:hAnsi="宋体" w:cs="宋体"/>
                <w:b/>
                <w:bCs/>
                <w:color w:val="auto"/>
                <w:sz w:val="22"/>
                <w:highlight w:val="none"/>
                <w:lang w:val="en-US" w:eastAsia="zh-CN"/>
              </w:rPr>
              <w:t>四</w:t>
            </w:r>
            <w:r>
              <w:rPr>
                <w:rFonts w:hint="eastAsia" w:ascii="宋体" w:hAnsi="宋体" w:cs="宋体"/>
                <w:b/>
                <w:bCs/>
                <w:color w:val="auto"/>
                <w:sz w:val="22"/>
                <w:highlight w:val="none"/>
              </w:rPr>
              <w:t>）</w:t>
            </w:r>
          </w:p>
        </w:tc>
      </w:tr>
      <w:tr w14:paraId="0598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B438DD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75D946C">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供应商参与政府采购活动投标资格声明（附件</w:t>
            </w:r>
            <w:r>
              <w:rPr>
                <w:rFonts w:hint="eastAsia" w:ascii="宋体" w:hAnsi="宋体" w:cs="宋体"/>
                <w:b/>
                <w:bCs/>
                <w:color w:val="auto"/>
                <w:sz w:val="22"/>
                <w:highlight w:val="none"/>
                <w:lang w:val="en-US" w:eastAsia="zh-CN"/>
              </w:rPr>
              <w:t>五</w:t>
            </w:r>
            <w:r>
              <w:rPr>
                <w:rFonts w:hint="eastAsia" w:ascii="宋体" w:hAnsi="宋体" w:cs="宋体"/>
                <w:b/>
                <w:bCs/>
                <w:color w:val="auto"/>
                <w:sz w:val="22"/>
                <w:highlight w:val="none"/>
              </w:rPr>
              <w:t>）</w:t>
            </w:r>
          </w:p>
        </w:tc>
      </w:tr>
      <w:tr w14:paraId="4E0A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552B9B7D">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80341BA">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法定代表人诚信投标承诺书（附件</w:t>
            </w:r>
            <w:r>
              <w:rPr>
                <w:rFonts w:hint="eastAsia" w:ascii="宋体" w:hAnsi="宋体" w:cs="宋体"/>
                <w:b/>
                <w:bCs/>
                <w:color w:val="auto"/>
                <w:sz w:val="22"/>
                <w:highlight w:val="none"/>
                <w:lang w:val="en-US" w:eastAsia="zh-CN"/>
              </w:rPr>
              <w:t>六</w:t>
            </w:r>
            <w:r>
              <w:rPr>
                <w:rFonts w:hint="eastAsia" w:ascii="宋体" w:hAnsi="宋体" w:cs="宋体"/>
                <w:b/>
                <w:bCs/>
                <w:color w:val="auto"/>
                <w:sz w:val="22"/>
                <w:highlight w:val="none"/>
              </w:rPr>
              <w:t>）</w:t>
            </w:r>
          </w:p>
        </w:tc>
      </w:tr>
      <w:tr w14:paraId="7FA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8C91D35">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10A1676">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商务偏离表（附件</w:t>
            </w:r>
            <w:r>
              <w:rPr>
                <w:rFonts w:hint="eastAsia" w:ascii="宋体" w:hAnsi="宋体" w:cs="宋体"/>
                <w:b/>
                <w:bCs/>
                <w:color w:val="auto"/>
                <w:sz w:val="22"/>
                <w:highlight w:val="none"/>
                <w:lang w:val="en-US" w:eastAsia="zh-CN"/>
              </w:rPr>
              <w:t>七</w:t>
            </w:r>
            <w:r>
              <w:rPr>
                <w:rFonts w:hint="eastAsia" w:ascii="宋体" w:hAnsi="宋体" w:cs="宋体"/>
                <w:b/>
                <w:bCs/>
                <w:color w:val="auto"/>
                <w:sz w:val="22"/>
                <w:highlight w:val="none"/>
              </w:rPr>
              <w:t>（一））、技术偏离表（附件</w:t>
            </w:r>
            <w:r>
              <w:rPr>
                <w:rFonts w:hint="eastAsia" w:ascii="宋体" w:hAnsi="宋体" w:cs="宋体"/>
                <w:b/>
                <w:bCs/>
                <w:color w:val="auto"/>
                <w:sz w:val="22"/>
                <w:highlight w:val="none"/>
                <w:lang w:val="en-US" w:eastAsia="zh-CN"/>
              </w:rPr>
              <w:t>期</w:t>
            </w:r>
            <w:r>
              <w:rPr>
                <w:rFonts w:hint="eastAsia" w:ascii="宋体" w:hAnsi="宋体" w:cs="宋体"/>
                <w:b/>
                <w:bCs/>
                <w:color w:val="auto"/>
                <w:sz w:val="22"/>
                <w:highlight w:val="none"/>
              </w:rPr>
              <w:t>（二））</w:t>
            </w:r>
          </w:p>
        </w:tc>
      </w:tr>
      <w:tr w14:paraId="79B4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409FD1A">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3BCCEA7">
            <w:pPr>
              <w:tabs>
                <w:tab w:val="left" w:pos="1069"/>
                <w:tab w:val="left" w:pos="2352"/>
              </w:tabs>
              <w:autoSpaceDE w:val="0"/>
              <w:autoSpaceDN w:val="0"/>
              <w:adjustRightInd w:val="0"/>
              <w:snapToGrid w:val="0"/>
              <w:spacing w:line="430" w:lineRule="atLeast"/>
              <w:rPr>
                <w:rFonts w:hint="eastAsia" w:ascii="宋体" w:hAnsi="宋体" w:eastAsia="宋体" w:cs="宋体"/>
                <w:b/>
                <w:bCs/>
                <w:color w:val="auto"/>
                <w:sz w:val="22"/>
                <w:highlight w:val="none"/>
                <w:lang w:eastAsia="zh-CN"/>
              </w:rPr>
            </w:pPr>
            <w:r>
              <w:rPr>
                <w:rFonts w:hint="eastAsia" w:ascii="宋体" w:hAnsi="宋体" w:cs="宋体"/>
                <w:b/>
                <w:bCs/>
                <w:color w:val="auto"/>
                <w:sz w:val="22"/>
                <w:highlight w:val="none"/>
              </w:rPr>
              <w:t>项目实施方案</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改造及运营部分分别描述</w:t>
            </w:r>
            <w:r>
              <w:rPr>
                <w:rFonts w:hint="eastAsia" w:ascii="宋体" w:hAnsi="宋体" w:cs="宋体"/>
                <w:b/>
                <w:bCs/>
                <w:color w:val="auto"/>
                <w:sz w:val="22"/>
                <w:highlight w:val="none"/>
                <w:lang w:eastAsia="zh-CN"/>
              </w:rPr>
              <w:t>）</w:t>
            </w:r>
          </w:p>
        </w:tc>
      </w:tr>
      <w:tr w14:paraId="166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E035DAB">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7E393C51">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供应商项目服务人员汇总表（附件</w:t>
            </w:r>
            <w:r>
              <w:rPr>
                <w:rFonts w:hint="eastAsia" w:ascii="宋体" w:hAnsi="宋体" w:cs="宋体"/>
                <w:b/>
                <w:bCs/>
                <w:color w:val="auto"/>
                <w:sz w:val="22"/>
                <w:highlight w:val="none"/>
                <w:lang w:val="en-US" w:eastAsia="zh-CN"/>
              </w:rPr>
              <w:t>八</w:t>
            </w:r>
            <w:r>
              <w:rPr>
                <w:rFonts w:hint="eastAsia" w:ascii="宋体" w:hAnsi="宋体" w:cs="宋体"/>
                <w:b/>
                <w:bCs/>
                <w:color w:val="auto"/>
                <w:sz w:val="22"/>
                <w:highlight w:val="none"/>
              </w:rPr>
              <w:t>）；</w:t>
            </w:r>
          </w:p>
        </w:tc>
      </w:tr>
      <w:tr w14:paraId="61D3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18389951">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51A76A0">
            <w:pPr>
              <w:tabs>
                <w:tab w:val="left" w:pos="1069"/>
                <w:tab w:val="left" w:pos="2352"/>
              </w:tabs>
              <w:autoSpaceDE w:val="0"/>
              <w:autoSpaceDN w:val="0"/>
              <w:adjustRightInd w:val="0"/>
              <w:snapToGrid w:val="0"/>
              <w:spacing w:line="430" w:lineRule="atLeast"/>
              <w:rPr>
                <w:rFonts w:hint="eastAsia" w:ascii="宋体" w:hAnsi="宋体" w:cs="宋体"/>
                <w:b/>
                <w:bCs/>
                <w:color w:val="auto"/>
                <w:sz w:val="22"/>
                <w:highlight w:val="none"/>
              </w:rPr>
            </w:pPr>
            <w:r>
              <w:rPr>
                <w:rFonts w:hint="eastAsia" w:ascii="宋体"/>
                <w:color w:val="auto"/>
                <w:sz w:val="22"/>
                <w:highlight w:val="none"/>
              </w:rPr>
              <w:t>联合体投标协议（如是联合体投标的则需提供）</w:t>
            </w:r>
            <w:r>
              <w:rPr>
                <w:rFonts w:hint="eastAsia" w:ascii="宋体"/>
                <w:b/>
                <w:bCs/>
                <w:color w:val="auto"/>
                <w:sz w:val="22"/>
                <w:highlight w:val="none"/>
              </w:rPr>
              <w:t>（附件</w:t>
            </w:r>
            <w:r>
              <w:rPr>
                <w:rFonts w:hint="eastAsia" w:ascii="宋体"/>
                <w:b/>
                <w:bCs/>
                <w:color w:val="auto"/>
                <w:sz w:val="22"/>
                <w:highlight w:val="none"/>
                <w:lang w:val="en-US" w:eastAsia="zh-CN"/>
              </w:rPr>
              <w:t>九</w:t>
            </w:r>
            <w:r>
              <w:rPr>
                <w:rFonts w:hint="eastAsia" w:ascii="宋体"/>
                <w:b/>
                <w:bCs/>
                <w:color w:val="auto"/>
                <w:sz w:val="22"/>
                <w:highlight w:val="none"/>
              </w:rPr>
              <w:t>）</w:t>
            </w:r>
          </w:p>
        </w:tc>
      </w:tr>
      <w:tr w14:paraId="1FC0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411396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1A278C6">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距离采购人最近的服务机构的详细介绍、服务机构总负责人，电话，地址，技术力量配置等；</w:t>
            </w:r>
          </w:p>
        </w:tc>
      </w:tr>
      <w:tr w14:paraId="35FA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97D3D14">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190A137">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供应商质量体系认证证书、供应商环境体系认证证书、供应商职业健康体系认证证书（（如有则提供）</w:t>
            </w:r>
          </w:p>
        </w:tc>
      </w:tr>
      <w:tr w14:paraId="4F7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E4FD9FF">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D59627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供应商项目业绩清单，如有（附件</w:t>
            </w:r>
            <w:r>
              <w:rPr>
                <w:rFonts w:hint="eastAsia" w:ascii="宋体" w:hAnsi="宋体" w:cs="宋体"/>
                <w:color w:val="auto"/>
                <w:sz w:val="22"/>
                <w:highlight w:val="none"/>
                <w:lang w:val="en-US" w:eastAsia="zh-CN"/>
              </w:rPr>
              <w:t>十</w:t>
            </w:r>
            <w:r>
              <w:rPr>
                <w:rFonts w:hint="eastAsia" w:ascii="宋体" w:hAnsi="宋体" w:cs="宋体"/>
                <w:color w:val="auto"/>
                <w:sz w:val="22"/>
                <w:highlight w:val="none"/>
              </w:rPr>
              <w:t>）</w:t>
            </w:r>
          </w:p>
        </w:tc>
      </w:tr>
      <w:tr w14:paraId="0A17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304DBF6">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1B01AD1B">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供应商具有的其它相关资质证书（如有则提供）</w:t>
            </w:r>
          </w:p>
        </w:tc>
      </w:tr>
      <w:tr w14:paraId="6A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000F958">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8A3807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根据竞争性磋商文件中的采购内容与技术要求、评标细则，需要提供的其它文件和资料。</w:t>
            </w:r>
          </w:p>
        </w:tc>
      </w:tr>
      <w:tr w14:paraId="7FF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5EE9E85">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8A2EB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其它供应商须说明的资料（如有则提供）</w:t>
            </w:r>
          </w:p>
        </w:tc>
      </w:tr>
      <w:tr w14:paraId="3FB5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A91CE51">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765BCB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供应商应编制目录索引，注明项目所在投标文件页码。</w:t>
            </w:r>
          </w:p>
        </w:tc>
      </w:tr>
      <w:tr w14:paraId="5613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E04BB3B">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D0FB1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政府采购活动现场确认声明书（附件十一）</w:t>
            </w:r>
          </w:p>
        </w:tc>
      </w:tr>
      <w:tr w14:paraId="3C47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34872A0">
            <w:pPr>
              <w:numPr>
                <w:ilvl w:val="0"/>
                <w:numId w:val="4"/>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F3B39AF">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中小企业相关的证明材料：</w:t>
            </w:r>
          </w:p>
          <w:p w14:paraId="4C1466DC">
            <w:pPr>
              <w:numPr>
                <w:ilvl w:val="0"/>
                <w:numId w:val="5"/>
              </w:num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w:t>
            </w:r>
          </w:p>
          <w:p w14:paraId="78C70DD2">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中小企业声明函（原件，加盖供应商公章，格式见采购文件第四部分附件1）</w:t>
            </w:r>
          </w:p>
          <w:p w14:paraId="68372701">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44D9F8B9">
            <w:pPr>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Arial"/>
                <w:color w:val="auto"/>
                <w:sz w:val="22"/>
                <w:highlight w:val="none"/>
              </w:rPr>
              <w:t>（3）残疾人福利性单位声明函（原件，加盖供应商公章，格式见采购文件第四部分附件2）在政府采购活动中，残疾人福利性单位视同小型、微型企业。</w:t>
            </w:r>
          </w:p>
        </w:tc>
      </w:tr>
    </w:tbl>
    <w:p w14:paraId="2003DE79">
      <w:pPr>
        <w:tabs>
          <w:tab w:val="left" w:pos="1069"/>
          <w:tab w:val="left" w:pos="2352"/>
        </w:tabs>
        <w:rPr>
          <w:rFonts w:ascii="宋体" w:hAnsi="宋体" w:cs="宋体"/>
          <w:color w:val="auto"/>
          <w:highlight w:val="none"/>
        </w:rPr>
      </w:pPr>
    </w:p>
    <w:p w14:paraId="28F37193">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r>
        <w:rPr>
          <w:rFonts w:hint="eastAsia" w:ascii="宋体" w:hAnsi="宋体" w:cs="宋体"/>
          <w:color w:val="auto"/>
          <w:sz w:val="22"/>
          <w:highlight w:val="none"/>
        </w:rPr>
        <w:t>3.投标内容填写说明</w:t>
      </w:r>
    </w:p>
    <w:p w14:paraId="70DF86C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供应商应按照（上表）所列出的内容及格式组成投标文件。</w:t>
      </w:r>
    </w:p>
    <w:p w14:paraId="2BCC9181">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bookmarkStart w:id="42" w:name="_Toc132122115"/>
      <w:bookmarkStart w:id="43" w:name="_Toc132122412"/>
      <w:r>
        <w:rPr>
          <w:rFonts w:hint="eastAsia" w:ascii="宋体" w:hAnsi="宋体" w:cs="宋体"/>
          <w:color w:val="auto"/>
          <w:sz w:val="22"/>
          <w:highlight w:val="none"/>
        </w:rPr>
        <w:t>4.投标报价</w:t>
      </w:r>
      <w:bookmarkEnd w:id="42"/>
      <w:bookmarkEnd w:id="43"/>
    </w:p>
    <w:p w14:paraId="3654376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4.1 供应商应按竞争性磋商文件中《开标（报价）一览表（首次报价）》填写投标报价。</w:t>
      </w:r>
    </w:p>
    <w:p w14:paraId="576BFB7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u w:val="single"/>
        </w:rPr>
      </w:pPr>
      <w:r>
        <w:rPr>
          <w:rFonts w:hint="eastAsia" w:ascii="宋体" w:hAnsi="宋体" w:cs="宋体"/>
          <w:color w:val="auto"/>
          <w:sz w:val="22"/>
          <w:highlight w:val="none"/>
        </w:rPr>
        <w:t>4.2 供应商应在各自技术和商务占优势的基础上并充分考虑本项目的重要性，提供对采购人最优惠的报价。</w:t>
      </w:r>
    </w:p>
    <w:p w14:paraId="3759FAE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4.3 </w:t>
      </w:r>
      <w:r>
        <w:rPr>
          <w:rFonts w:hint="eastAsia" w:ascii="宋体" w:hAnsi="宋体" w:cs="宋体"/>
          <w:b/>
          <w:bCs/>
          <w:color w:val="auto"/>
          <w:sz w:val="22"/>
          <w:highlight w:val="none"/>
          <w:u w:val="single"/>
        </w:rPr>
        <w:t>除采购人有变更采购需求的情况外，供应商最终报价不得高于首次报价</w:t>
      </w:r>
      <w:r>
        <w:rPr>
          <w:rFonts w:hint="eastAsia" w:ascii="宋体" w:hAnsi="宋体" w:cs="宋体"/>
          <w:color w:val="auto"/>
          <w:sz w:val="22"/>
          <w:highlight w:val="none"/>
        </w:rPr>
        <w:t>。</w:t>
      </w:r>
    </w:p>
    <w:p w14:paraId="3B5FCBE2">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4.4 </w:t>
      </w:r>
      <w:r>
        <w:rPr>
          <w:rFonts w:hint="eastAsia" w:ascii="宋体" w:hAnsi="宋体" w:cs="宋体"/>
          <w:b/>
          <w:bCs/>
          <w:color w:val="auto"/>
          <w:sz w:val="22"/>
          <w:highlight w:val="none"/>
          <w:u w:val="single"/>
        </w:rPr>
        <w:t>超过规定时间未提交最终报价的视为自动放弃投标</w:t>
      </w:r>
      <w:r>
        <w:rPr>
          <w:rFonts w:hint="eastAsia" w:ascii="宋体" w:hAnsi="宋体" w:cs="宋体"/>
          <w:color w:val="auto"/>
          <w:sz w:val="22"/>
          <w:highlight w:val="none"/>
        </w:rPr>
        <w:t>。</w:t>
      </w:r>
    </w:p>
    <w:p w14:paraId="5ED567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5.采购人要求分类报价是为了方便评标，但在任何情况下不限制采购人以其认为最合适的条款签订合同的权利。</w:t>
      </w:r>
    </w:p>
    <w:p w14:paraId="2E1768DD">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bookmarkStart w:id="44" w:name="_Toc132122117"/>
      <w:bookmarkStart w:id="45" w:name="_Toc132122414"/>
      <w:r>
        <w:rPr>
          <w:rFonts w:hint="eastAsia" w:ascii="宋体" w:hAnsi="宋体" w:cs="宋体"/>
          <w:color w:val="auto"/>
          <w:sz w:val="22"/>
          <w:highlight w:val="none"/>
        </w:rPr>
        <w:t>6.投标（响应）文件的有效期</w:t>
      </w:r>
      <w:bookmarkEnd w:id="44"/>
      <w:bookmarkEnd w:id="45"/>
    </w:p>
    <w:p w14:paraId="265729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6.1 自报价截止时间起90天内，投标（响应）文件应保持有效。有效期短于这个规定期限的报价将被拒绝。</w:t>
      </w:r>
    </w:p>
    <w:p w14:paraId="4E6FB09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6.2 在特殊情况下，采购人可与供应商协商延长投标（响应）文件的有效期，这种要求和答复均应以书面形式进行。</w:t>
      </w:r>
    </w:p>
    <w:p w14:paraId="6F39CF3A">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6.3 供应商可拒绝接受延期要求，同意延长有效期的供应商不能修改投标（响应）文件。</w:t>
      </w:r>
    </w:p>
    <w:p w14:paraId="008EF6DE">
      <w:pPr>
        <w:pStyle w:val="42"/>
        <w:tabs>
          <w:tab w:val="left" w:pos="1069"/>
          <w:tab w:val="left" w:pos="2352"/>
        </w:tabs>
        <w:adjustRightInd w:val="0"/>
        <w:snapToGrid w:val="0"/>
        <w:spacing w:line="400" w:lineRule="atLeast"/>
        <w:outlineLvl w:val="0"/>
        <w:rPr>
          <w:rFonts w:hAnsi="宋体" w:cs="宋体"/>
          <w:b/>
          <w:bCs/>
          <w:color w:val="auto"/>
          <w:sz w:val="22"/>
          <w:szCs w:val="22"/>
          <w:highlight w:val="none"/>
        </w:rPr>
      </w:pPr>
      <w:bookmarkStart w:id="46" w:name="_Toc132124595"/>
      <w:bookmarkStart w:id="47" w:name="_Toc132122120"/>
      <w:bookmarkStart w:id="48" w:name="_Toc132123882"/>
      <w:bookmarkStart w:id="49" w:name="_Toc132123440"/>
      <w:bookmarkStart w:id="50" w:name="_Toc132122417"/>
      <w:bookmarkStart w:id="51" w:name="_Toc132655777"/>
      <w:bookmarkStart w:id="52" w:name="_Toc132123635"/>
      <w:bookmarkStart w:id="53" w:name="_Toc132123548"/>
      <w:bookmarkStart w:id="54" w:name="_Toc132125038"/>
      <w:bookmarkStart w:id="55" w:name="_Toc132123839"/>
      <w:bookmarkStart w:id="56" w:name="_Toc132125984"/>
      <w:bookmarkStart w:id="57" w:name="_Toc132125575"/>
      <w:bookmarkStart w:id="58" w:name="_Toc132125152"/>
      <w:bookmarkStart w:id="59" w:name="_Toc132125096"/>
      <w:bookmarkStart w:id="60" w:name="_Toc132126155"/>
      <w:r>
        <w:rPr>
          <w:rFonts w:hint="eastAsia" w:hAnsi="宋体" w:cs="宋体"/>
          <w:b/>
          <w:bCs/>
          <w:color w:val="auto"/>
          <w:sz w:val="22"/>
          <w:highlight w:val="none"/>
        </w:rPr>
        <w:t>四、</w:t>
      </w:r>
      <w:r>
        <w:rPr>
          <w:rFonts w:hint="eastAsia" w:hAnsi="宋体" w:cs="宋体"/>
          <w:b/>
          <w:bCs/>
          <w:color w:val="auto"/>
          <w:sz w:val="22"/>
          <w:szCs w:val="22"/>
          <w:highlight w:val="none"/>
        </w:rPr>
        <w:t>投标文件</w:t>
      </w:r>
    </w:p>
    <w:p w14:paraId="23563CC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1. 投标文件的上传、递交：见《投标邀请函（投标须知前附表）》。</w:t>
      </w:r>
    </w:p>
    <w:p w14:paraId="63BF291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2.“电子加密投标文件”解密和异常情况处理：见《投标邀请函（投标须知前附表）》。</w:t>
      </w:r>
    </w:p>
    <w:p w14:paraId="11CE0670">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3.投标文件的补充、修改或撤回</w:t>
      </w:r>
    </w:p>
    <w:p w14:paraId="6E68AF43">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14:paraId="0C9A6621">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3.2投标截止时间后，供应商不得撤回、修改《投标文件》。</w:t>
      </w:r>
    </w:p>
    <w:p w14:paraId="4DA5DB52">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4.投标文件的备选方案</w:t>
      </w:r>
    </w:p>
    <w:p w14:paraId="692ACE38">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4.1供应商不得递交任何的投标备选（替代）方案，否则其投标文件将作无效标处理。</w:t>
      </w:r>
    </w:p>
    <w:p w14:paraId="1450B9EC">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 投标截止期</w:t>
      </w:r>
    </w:p>
    <w:p w14:paraId="7F3B1C6B">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5.1供应商应按前附表中规定的时间、地点将投标文件递交给采购人，采购人将拒绝接受逾期送达的投标文件。</w:t>
      </w:r>
    </w:p>
    <w:p w14:paraId="6B2D1527">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szCs w:val="22"/>
          <w:highlight w:val="none"/>
        </w:rPr>
        <w:t>5.2采购人可以按本须知规定以补充通知的方式，酌情延长递交投标文件的截止日期。在上述情况下，采购人与供应商以前在投标截止期方面的全部权利、责任和义务，将适用于延长至新的投标截止期。</w:t>
      </w:r>
    </w:p>
    <w:p w14:paraId="0213B8A4">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1" w:name="_Toc15003_WPSOffice_Level2"/>
      <w:bookmarkStart w:id="62" w:name="_Toc493530207"/>
      <w:r>
        <w:rPr>
          <w:rFonts w:hint="eastAsia" w:hAnsi="宋体" w:cs="宋体"/>
          <w:b/>
          <w:bCs/>
          <w:color w:val="auto"/>
          <w:sz w:val="22"/>
          <w:highlight w:val="none"/>
        </w:rPr>
        <w:t>五、开标和评标</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CC6BF1E">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1.开标</w:t>
      </w:r>
    </w:p>
    <w:p w14:paraId="225E58A2">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1.1开标准备</w:t>
      </w:r>
    </w:p>
    <w:p w14:paraId="7BF6A9FC">
      <w:pPr>
        <w:tabs>
          <w:tab w:val="left" w:pos="1069"/>
          <w:tab w:val="left" w:pos="2352"/>
        </w:tabs>
        <w:snapToGrid w:val="0"/>
        <w:spacing w:line="440" w:lineRule="exact"/>
        <w:ind w:firstLine="440" w:firstLineChars="200"/>
        <w:jc w:val="left"/>
        <w:rPr>
          <w:rFonts w:ascii="宋体" w:hAnsi="宋体" w:cs="宋体"/>
          <w:b/>
          <w:color w:val="auto"/>
          <w:kern w:val="0"/>
          <w:sz w:val="22"/>
          <w:highlight w:val="none"/>
        </w:rPr>
      </w:pPr>
      <w:r>
        <w:rPr>
          <w:rFonts w:hint="eastAsia" w:ascii="宋体" w:hAnsi="宋体" w:cs="宋体"/>
          <w:bCs/>
          <w:color w:val="auto"/>
          <w:sz w:val="22"/>
          <w:highlight w:val="none"/>
        </w:rPr>
        <w:t>1）</w:t>
      </w:r>
      <w:r>
        <w:rPr>
          <w:rFonts w:hint="eastAsia" w:ascii="宋体" w:hAnsi="宋体" w:cs="宋体"/>
          <w:b/>
          <w:color w:val="auto"/>
          <w:sz w:val="22"/>
          <w:highlight w:val="none"/>
        </w:rPr>
        <w:t>采购组织机构原则上采用电子评标，按照响应文件规定的时间通过“政府采购云平台”组织开标、开启响应文件，所有供应商均应当准时在线参加。</w:t>
      </w:r>
      <w:r>
        <w:rPr>
          <w:rFonts w:hint="eastAsia" w:ascii="宋体" w:hAnsi="宋体" w:cs="宋体"/>
          <w:b/>
          <w:color w:val="auto"/>
          <w:kern w:val="0"/>
          <w:sz w:val="22"/>
          <w:highlight w:val="none"/>
        </w:rPr>
        <w:t>供应商如不参加磋商大会的，视同认可磋商结果，事后不得对采购相关人员、磋商过程和磋商结果提出异议，同时供应商因未在线参加磋商而导致响应文件无法按时解密等一切后果由供应商自己承担。</w:t>
      </w:r>
    </w:p>
    <w:p w14:paraId="00308F49">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2）若磋商供应商在规定时间内无法解密或解密失败的，其投标无效。</w:t>
      </w:r>
    </w:p>
    <w:p w14:paraId="0A10A3CA">
      <w:pPr>
        <w:tabs>
          <w:tab w:val="left" w:pos="1069"/>
          <w:tab w:val="left" w:pos="2352"/>
        </w:tabs>
        <w:snapToGrid w:val="0"/>
        <w:spacing w:line="440" w:lineRule="exact"/>
        <w:ind w:firstLine="440" w:firstLineChars="200"/>
        <w:jc w:val="left"/>
        <w:rPr>
          <w:rFonts w:ascii="宋体" w:hAnsi="宋体" w:cs="宋体"/>
          <w:bCs/>
          <w:color w:val="auto"/>
          <w:sz w:val="22"/>
          <w:highlight w:val="none"/>
        </w:rPr>
      </w:pPr>
      <w:r>
        <w:rPr>
          <w:rFonts w:hint="eastAsia" w:ascii="宋体" w:hAnsi="宋体" w:cs="宋体"/>
          <w:color w:val="auto"/>
          <w:sz w:val="22"/>
          <w:highlight w:val="none"/>
          <w:shd w:val="clear" w:color="auto" w:fill="FFFFFF"/>
        </w:rPr>
        <w:t>3）</w:t>
      </w:r>
      <w:r>
        <w:rPr>
          <w:rFonts w:hint="eastAsia" w:ascii="宋体" w:hAnsi="宋体" w:cs="宋体"/>
          <w:b/>
          <w:bCs/>
          <w:color w:val="auto"/>
          <w:sz w:val="22"/>
          <w:highlight w:val="none"/>
          <w:shd w:val="clear" w:color="auto" w:fill="FFFFFF"/>
        </w:rPr>
        <w:t>所有二次报价询标流程，均在线上完成，请各供应商务必不要离开电脑太久，并留意手机短信。（请提前检查“政采云”内，关于‘项目采购’的岗位权限是否已勾选上。如有问题，请致电400-881-7190）</w:t>
      </w:r>
    </w:p>
    <w:p w14:paraId="0A2CC4D8">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1.2 电子招投标开标及评审程序</w:t>
      </w:r>
    </w:p>
    <w:p w14:paraId="6F939714">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1CB5DA30">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2）投标文件解密结束，开启投标文件，对资格文件进行审查，并公布资格审查情况；</w:t>
      </w:r>
    </w:p>
    <w:p w14:paraId="0F1D35AA">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3）评审小组就价格、服务等认为需要磋商的内容进行磋商，供应商逐家回答磋商小组的提问，响应人作出最终承诺和最终报价。</w:t>
      </w:r>
    </w:p>
    <w:p w14:paraId="368EF6D5">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4）对商务技术文件进行评审；</w:t>
      </w:r>
    </w:p>
    <w:p w14:paraId="4D577817">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5）对报价文件进行评审；</w:t>
      </w:r>
    </w:p>
    <w:p w14:paraId="14E68B06">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6）公布评审结果。</w:t>
      </w:r>
    </w:p>
    <w:p w14:paraId="7D2DB5D7">
      <w:pPr>
        <w:pStyle w:val="12"/>
        <w:tabs>
          <w:tab w:val="left" w:pos="1069"/>
          <w:tab w:val="left" w:pos="2352"/>
        </w:tabs>
        <w:adjustRightInd w:val="0"/>
        <w:spacing w:line="400" w:lineRule="exact"/>
        <w:ind w:firstLine="442" w:firstLineChars="200"/>
        <w:rPr>
          <w:rFonts w:hAnsi="宋体" w:cs="宋体"/>
          <w:b/>
          <w:bCs/>
          <w:color w:val="auto"/>
          <w:sz w:val="22"/>
          <w:szCs w:val="22"/>
          <w:highlight w:val="none"/>
        </w:rPr>
      </w:pPr>
      <w:r>
        <w:rPr>
          <w:rFonts w:hint="eastAsia" w:hAnsi="宋体" w:cs="宋体"/>
          <w:b/>
          <w:bCs/>
          <w:color w:val="auto"/>
          <w:sz w:val="22"/>
          <w:szCs w:val="22"/>
          <w:highlight w:val="none"/>
        </w:rPr>
        <w:t>特别说明：政采云公司如对电子化开标及评审程序有调整的，按调整后的程序操作。</w:t>
      </w:r>
    </w:p>
    <w:p w14:paraId="11BB4EE8">
      <w:pPr>
        <w:tabs>
          <w:tab w:val="left" w:pos="1069"/>
          <w:tab w:val="left" w:pos="2352"/>
        </w:tabs>
        <w:adjustRightInd w:val="0"/>
        <w:snapToGrid w:val="0"/>
        <w:spacing w:line="400" w:lineRule="atLeast"/>
        <w:ind w:firstLine="433" w:firstLineChars="197"/>
        <w:rPr>
          <w:rFonts w:hAnsi="宋体" w:cs="宋体"/>
          <w:b/>
          <w:bCs/>
          <w:color w:val="auto"/>
          <w:sz w:val="22"/>
          <w:highlight w:val="none"/>
        </w:rPr>
      </w:pPr>
      <w:r>
        <w:rPr>
          <w:rFonts w:hint="eastAsia" w:ascii="宋体" w:hAnsi="宋体" w:cs="宋体"/>
          <w:color w:val="auto"/>
          <w:sz w:val="22"/>
          <w:highlight w:val="none"/>
        </w:rPr>
        <w:t>▲</w:t>
      </w:r>
      <w:r>
        <w:rPr>
          <w:rFonts w:hint="eastAsia" w:ascii="宋体" w:hAnsi="宋体" w:cs="宋体"/>
          <w:b/>
          <w:bCs/>
          <w:color w:val="auto"/>
          <w:sz w:val="22"/>
          <w:highlight w:val="none"/>
        </w:rPr>
        <w:t>供应商政采云系统填写报价和电子投标文件（开标（报价）一览表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）中填写不一致的，以电子投标文件（开标（报价）一览表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）为准，如果不接受调整价格的做废标处理。</w:t>
      </w:r>
    </w:p>
    <w:p w14:paraId="709CAD18">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2.评标</w:t>
      </w:r>
    </w:p>
    <w:p w14:paraId="7D6729F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2.1 评标由采购人依法组建的评审小组负责，并独立履行下列职责：</w:t>
      </w:r>
    </w:p>
    <w:p w14:paraId="3D765302">
      <w:pPr>
        <w:tabs>
          <w:tab w:val="left" w:pos="1069"/>
          <w:tab w:val="left" w:pos="2352"/>
        </w:tabs>
        <w:spacing w:line="400" w:lineRule="exact"/>
        <w:ind w:firstLine="431" w:firstLineChars="196"/>
        <w:rPr>
          <w:rFonts w:ascii="宋体" w:hAnsi="宋体" w:cs="宋体"/>
          <w:color w:val="auto"/>
          <w:sz w:val="22"/>
          <w:highlight w:val="none"/>
        </w:rPr>
      </w:pPr>
      <w:bookmarkStart w:id="63" w:name="_Toc2500_WPSOffice_Level3"/>
      <w:r>
        <w:rPr>
          <w:rFonts w:hint="eastAsia" w:ascii="宋体" w:hAnsi="宋体" w:cs="宋体"/>
          <w:color w:val="auto"/>
          <w:sz w:val="22"/>
          <w:highlight w:val="none"/>
        </w:rPr>
        <w:t>1）审查投标（响应）文件是否符合竞争性磋商文件要求，并作出评价；</w:t>
      </w:r>
      <w:bookmarkEnd w:id="63"/>
    </w:p>
    <w:p w14:paraId="5028C861">
      <w:pPr>
        <w:tabs>
          <w:tab w:val="left" w:pos="1069"/>
          <w:tab w:val="left" w:pos="2352"/>
        </w:tabs>
        <w:spacing w:line="400" w:lineRule="exact"/>
        <w:ind w:firstLine="440" w:firstLineChars="200"/>
        <w:rPr>
          <w:rFonts w:ascii="宋体" w:hAnsi="宋体" w:cs="宋体"/>
          <w:color w:val="auto"/>
          <w:sz w:val="22"/>
          <w:highlight w:val="none"/>
        </w:rPr>
      </w:pPr>
      <w:bookmarkStart w:id="64" w:name="_Toc20806_WPSOffice_Level3"/>
      <w:r>
        <w:rPr>
          <w:rFonts w:hint="eastAsia" w:ascii="宋体" w:hAnsi="宋体" w:cs="宋体"/>
          <w:color w:val="auto"/>
          <w:sz w:val="22"/>
          <w:highlight w:val="none"/>
        </w:rPr>
        <w:t>2）要求供应商对投标（响应）文件有关事项作出解释或者澄清；</w:t>
      </w:r>
      <w:bookmarkEnd w:id="64"/>
    </w:p>
    <w:p w14:paraId="629C3AD6">
      <w:pPr>
        <w:tabs>
          <w:tab w:val="left" w:pos="1069"/>
          <w:tab w:val="left" w:pos="2352"/>
        </w:tabs>
        <w:spacing w:line="400" w:lineRule="exact"/>
        <w:ind w:firstLine="440" w:firstLineChars="200"/>
        <w:rPr>
          <w:rFonts w:ascii="宋体" w:hAnsi="宋体" w:cs="宋体"/>
          <w:color w:val="auto"/>
          <w:sz w:val="22"/>
          <w:highlight w:val="none"/>
        </w:rPr>
      </w:pPr>
      <w:bookmarkStart w:id="65" w:name="_Toc12689_WPSOffice_Level3"/>
      <w:r>
        <w:rPr>
          <w:rFonts w:hint="eastAsia" w:ascii="宋体" w:hAnsi="宋体" w:cs="宋体"/>
          <w:color w:val="auto"/>
          <w:sz w:val="22"/>
          <w:highlight w:val="none"/>
        </w:rPr>
        <w:t>3）按照竞争性磋商文件确定的评标办法直接确定中标（成交）供应商；</w:t>
      </w:r>
      <w:bookmarkEnd w:id="65"/>
    </w:p>
    <w:p w14:paraId="430102D2">
      <w:pPr>
        <w:pStyle w:val="12"/>
        <w:tabs>
          <w:tab w:val="left" w:pos="1069"/>
          <w:tab w:val="left" w:pos="2352"/>
        </w:tabs>
        <w:adjustRightInd w:val="0"/>
        <w:spacing w:line="400" w:lineRule="exact"/>
        <w:ind w:firstLine="431" w:firstLineChars="196"/>
        <w:rPr>
          <w:rFonts w:hAnsi="宋体" w:cs="宋体"/>
          <w:b/>
          <w:bCs/>
          <w:color w:val="auto"/>
          <w:sz w:val="22"/>
          <w:highlight w:val="none"/>
        </w:rPr>
      </w:pPr>
      <w:bookmarkStart w:id="66" w:name="_Toc20017_WPSOffice_Level3"/>
      <w:r>
        <w:rPr>
          <w:rFonts w:hint="eastAsia" w:hAnsi="宋体" w:cs="宋体"/>
          <w:color w:val="auto"/>
          <w:sz w:val="22"/>
          <w:highlight w:val="none"/>
        </w:rPr>
        <w:t>4）向采购人或者有关部门报告非法干预评标工作的行为。</w:t>
      </w:r>
      <w:bookmarkEnd w:id="66"/>
    </w:p>
    <w:p w14:paraId="0CCBD332">
      <w:pPr>
        <w:tabs>
          <w:tab w:val="left" w:pos="1069"/>
          <w:tab w:val="left" w:pos="2352"/>
        </w:tabs>
        <w:spacing w:line="400" w:lineRule="exact"/>
        <w:ind w:firstLine="431" w:firstLineChars="196"/>
        <w:rPr>
          <w:rFonts w:ascii="宋体" w:hAnsi="宋体" w:cs="宋体"/>
          <w:color w:val="auto"/>
          <w:sz w:val="22"/>
          <w:highlight w:val="none"/>
        </w:rPr>
      </w:pPr>
      <w:r>
        <w:rPr>
          <w:rFonts w:hint="eastAsia" w:ascii="宋体" w:hAnsi="宋体" w:cs="宋体"/>
          <w:color w:val="auto"/>
          <w:sz w:val="22"/>
          <w:highlight w:val="none"/>
        </w:rPr>
        <w:t>2.2 评标应当遵循下列工作程序：</w:t>
      </w:r>
    </w:p>
    <w:p w14:paraId="3AC30DBA">
      <w:pPr>
        <w:tabs>
          <w:tab w:val="left" w:pos="1069"/>
          <w:tab w:val="left" w:pos="2352"/>
        </w:tabs>
        <w:spacing w:line="400" w:lineRule="exact"/>
        <w:rPr>
          <w:rFonts w:ascii="宋体" w:hAnsi="宋体" w:cs="宋体"/>
          <w:color w:val="auto"/>
          <w:sz w:val="22"/>
          <w:highlight w:val="none"/>
        </w:rPr>
      </w:pPr>
      <w:r>
        <w:rPr>
          <w:rFonts w:hint="eastAsia" w:ascii="宋体" w:hAnsi="宋体" w:cs="宋体"/>
          <w:color w:val="auto"/>
          <w:sz w:val="22"/>
          <w:highlight w:val="none"/>
        </w:rPr>
        <w:t xml:space="preserve">    1）投标（响应）文件初审。初审分为资格性检查和符合性检查。</w:t>
      </w:r>
    </w:p>
    <w:p w14:paraId="652F1E8B">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（1)资格性检查。由采购人代表或招标代理机构对供应商资格进行审查。依据法律法规和竞争性磋商文件的规定，对投标（响应）文件中的资格证明文件等进行审查，以确定供应商是否具备投标资格。</w:t>
      </w:r>
    </w:p>
    <w:p w14:paraId="47630B70">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（2)符合性检查。评审小组依据竞争性磋商文件的规定，从投标（响应）文件的有效性、完整性和对竞争性磋商文件的响应程度进行审查，以确定是否对竞争性磋商文件的实质性要求作出响应。</w:t>
      </w:r>
    </w:p>
    <w:p w14:paraId="7F606124">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2）评审小组可以根据供应商投标（响应）文件情况，经采购人确认，调整竞争性磋商文件及采购方案，在统一采购要求的基础上，要求所有有效供应商重新修正投标（响应）文件及进行多轮次报价。</w:t>
      </w:r>
    </w:p>
    <w:p w14:paraId="75342010">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3）评价。按竞争性磋商文件中规定的评标方法和标准，对资格性检查和符合性检查合格的投标（响应）文件进行商务和技术评估，综合评价。</w:t>
      </w:r>
    </w:p>
    <w:p w14:paraId="6ECFCE15">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4）推荐中标（成交）供应商候选人名单，并根据采购人的授权确定中标（成交）供应商。</w:t>
      </w:r>
    </w:p>
    <w:p w14:paraId="52E70C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2.3 </w:t>
      </w:r>
      <w:r>
        <w:rPr>
          <w:rFonts w:hint="eastAsia" w:hAnsi="宋体" w:cs="宋体"/>
          <w:color w:val="auto"/>
          <w:sz w:val="22"/>
          <w:highlight w:val="none"/>
          <w:u w:val="single"/>
        </w:rPr>
        <w:t>▲供应商存在下列情况之一的，报价无效:</w:t>
      </w:r>
    </w:p>
    <w:p w14:paraId="178C321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1）投标（响应）文件未按竞争性磋商文件要求签署、盖章的；</w:t>
      </w:r>
    </w:p>
    <w:p w14:paraId="7DD1A99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2）不具备竞争性磋商文件中规定的资格要求的；</w:t>
      </w:r>
    </w:p>
    <w:p w14:paraId="4467E10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3）最终报价超过竞争性磋商文件中规定的预算金额或者最高限价的；</w:t>
      </w:r>
    </w:p>
    <w:p w14:paraId="7C87D27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4）投标（响应）文件含有采购人不能接受的附加条件的（包括竞争性磋商文件中明确要求不得偏离的招标要求，存在负偏离的）;</w:t>
      </w:r>
    </w:p>
    <w:p w14:paraId="3D43C5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5）对关键条文的偏离、保留或反对，例如关于付款方式、完工期（服务期）、免费质保期、适用法律法规、标准、税费等其他内容；</w:t>
      </w:r>
    </w:p>
    <w:p w14:paraId="741DF48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6）存在串标、抬标或弄虚作假情况的；</w:t>
      </w:r>
    </w:p>
    <w:p w14:paraId="320B5D61">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7）法律、法规和竞争性磋商文件规定的其他无效情形（或出现重大偏差）。</w:t>
      </w:r>
    </w:p>
    <w:p w14:paraId="643107F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2.4 </w:t>
      </w:r>
      <w:r>
        <w:rPr>
          <w:rFonts w:hint="eastAsia" w:hAnsi="宋体" w:cs="宋体"/>
          <w:color w:val="auto"/>
          <w:sz w:val="22"/>
          <w:highlight w:val="none"/>
          <w:u w:val="single"/>
        </w:rPr>
        <w:t>▲评审小组发现投标（响应）文件有下列情形之一的属于重大偏差(评审小组按少数服从多数原则认定),按照无效投标处理：</w:t>
      </w:r>
    </w:p>
    <w:p w14:paraId="2F32CD9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1）未按竞争性磋商文件要求编制或字迹模糊、辨认不清的投标（响应）文件；</w:t>
      </w:r>
    </w:p>
    <w:p w14:paraId="6C0A400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2）除2.3条款以外，出现其它明显不符合采购要求的投标（响应）文件；</w:t>
      </w:r>
    </w:p>
    <w:p w14:paraId="3CE6741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u w:val="single"/>
        </w:rPr>
        <w:t>3）除2.3条款以外，出现其它不符合竞争性磋商文件中规定的实质性要求的投标（响应）文件，是否为偏离实质性要求由评审小组认定。</w:t>
      </w:r>
    </w:p>
    <w:p w14:paraId="08CCF3C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2.5</w:t>
      </w:r>
      <w:r>
        <w:rPr>
          <w:rFonts w:hint="eastAsia" w:hAnsi="宋体" w:cs="宋体"/>
          <w:color w:val="auto"/>
          <w:sz w:val="22"/>
          <w:highlight w:val="none"/>
          <w:u w:val="single"/>
        </w:rPr>
        <w:t>▲评审小组认为供应商的最终报价明显低于其他有效供应商的最终报价，有可能影响采购质量或者不能诚信履约的，应当要求其在合理的时间内提供说明，必要时提交相关证明材料；供应商不能证明其报价合理性的，评审小组应当将其作为无效投标处理。</w:t>
      </w:r>
    </w:p>
    <w:p w14:paraId="227906FE">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2.6 评审小组在评标中，不得改变竞争性磋商文件中规定的评标标准、方法和中标(成交)条件。</w:t>
      </w:r>
    </w:p>
    <w:p w14:paraId="6363E87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2.7 评标时如遇到竞争性磋商文件未规定的特殊情况，由评审小组按少数服从多数原则集体决定处理。</w:t>
      </w:r>
    </w:p>
    <w:p w14:paraId="385A5089">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2.8评审小组对未中标(成交)的供应商不作解释。同时根据政府采购法实施条例第四十条规定，本项目不对供应商公布详细的评审情况，不公布具体评标细则中小项得分。</w:t>
      </w:r>
    </w:p>
    <w:p w14:paraId="6F1DB945">
      <w:pPr>
        <w:pStyle w:val="12"/>
        <w:tabs>
          <w:tab w:val="left" w:pos="1069"/>
          <w:tab w:val="left" w:pos="2352"/>
        </w:tabs>
        <w:adjustRightInd w:val="0"/>
        <w:snapToGrid w:val="0"/>
        <w:spacing w:line="400" w:lineRule="exact"/>
        <w:ind w:firstLine="435" w:firstLineChars="197"/>
        <w:rPr>
          <w:rFonts w:hAnsi="宋体" w:cs="宋体"/>
          <w:b/>
          <w:bCs/>
          <w:color w:val="auto"/>
          <w:sz w:val="22"/>
          <w:highlight w:val="none"/>
        </w:rPr>
      </w:pPr>
      <w:r>
        <w:rPr>
          <w:rFonts w:hint="eastAsia" w:hAnsi="宋体" w:cs="宋体"/>
          <w:b/>
          <w:bCs/>
          <w:color w:val="auto"/>
          <w:sz w:val="22"/>
          <w:highlight w:val="none"/>
        </w:rPr>
        <w:t>2.9</w:t>
      </w:r>
      <w:r>
        <w:rPr>
          <w:rFonts w:hint="eastAsia" w:hAnsi="宋体" w:cs="宋体"/>
          <w:b/>
          <w:bCs/>
          <w:color w:val="auto"/>
          <w:sz w:val="22"/>
          <w:highlight w:val="none"/>
          <w:u w:val="single"/>
        </w:rPr>
        <w:t>符合资格条件的投标供应商不足三家的不予开标。如进入磋商过程中，符合采购人技术等方面要求的供应商为2家的，根据评审小组意见，可以流标；也可以按财政部《关于政府采购竞争性磋商采购方式管理暂行办法有关问题的补充通知【财库〔2015〕124号】》文件规定执行</w:t>
      </w:r>
      <w:r>
        <w:rPr>
          <w:rFonts w:hint="eastAsia" w:hAnsi="宋体" w:cs="宋体"/>
          <w:b/>
          <w:bCs/>
          <w:color w:val="auto"/>
          <w:sz w:val="22"/>
          <w:highlight w:val="none"/>
        </w:rPr>
        <w:t>。</w:t>
      </w:r>
    </w:p>
    <w:p w14:paraId="2488949E">
      <w:pPr>
        <w:pStyle w:val="12"/>
        <w:tabs>
          <w:tab w:val="left" w:pos="1069"/>
          <w:tab w:val="left" w:pos="2352"/>
        </w:tabs>
        <w:adjustRightInd w:val="0"/>
        <w:snapToGri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3.投标（响应）文件的澄清</w:t>
      </w:r>
    </w:p>
    <w:p w14:paraId="7759E204">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为有利于对投标（响应）文件的评议，必要时采购人及评审小组可要求供应商对投标（响应）文件及合同条款进行澄清，并做出答复。答复须有授权代表签字并作为报价内容的一部分。</w:t>
      </w:r>
    </w:p>
    <w:p w14:paraId="1DC939C7">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4.有下列情形之一的，视为供应商相互串通投标：</w:t>
      </w:r>
    </w:p>
    <w:p w14:paraId="50DB29D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4.1不同供应商的投标（响应）文件由同一单位或者个人编制；</w:t>
      </w:r>
    </w:p>
    <w:p w14:paraId="71DD61C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4.2不同供应商委托同一单位或者个人办理投标事宜；</w:t>
      </w:r>
    </w:p>
    <w:p w14:paraId="1026F526">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4.3不同供应商的投标（响应）文件载明的项目管理成员为同一人；</w:t>
      </w:r>
    </w:p>
    <w:p w14:paraId="6D7E943F">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4.4不同供应商的投标（响应）文件异常一致或者投标报价呈规律性差异；</w:t>
      </w:r>
    </w:p>
    <w:p w14:paraId="32DBA885">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4.5不同供应商的投标（响应）文件相互混装；</w:t>
      </w:r>
    </w:p>
    <w:p w14:paraId="433DF10B">
      <w:pPr>
        <w:pStyle w:val="12"/>
        <w:tabs>
          <w:tab w:val="left" w:pos="1069"/>
          <w:tab w:val="left" w:pos="2352"/>
        </w:tabs>
        <w:adjustRightInd w:val="0"/>
        <w:spacing w:line="400" w:lineRule="exact"/>
        <w:ind w:left="437" w:leftChars="208"/>
        <w:rPr>
          <w:rFonts w:hAnsi="宋体" w:cs="宋体"/>
          <w:b/>
          <w:bCs/>
          <w:color w:val="auto"/>
          <w:sz w:val="22"/>
          <w:highlight w:val="none"/>
        </w:rPr>
      </w:pPr>
      <w:r>
        <w:rPr>
          <w:rFonts w:hint="eastAsia" w:hAnsi="宋体" w:cs="宋体"/>
          <w:color w:val="auto"/>
          <w:sz w:val="22"/>
          <w:highlight w:val="none"/>
        </w:rPr>
        <w:t>4.6经评审小组认定供应商进行串通投标的，评审小组可以对相关供应商做出无效报价处理，并上报政府采购管理部门进行进一步处理。</w:t>
      </w:r>
    </w:p>
    <w:p w14:paraId="5BDE482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5.评标原则</w:t>
      </w:r>
    </w:p>
    <w:p w14:paraId="456C7C2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评标办法具体见本竞争性磋商文件第七部分。</w:t>
      </w:r>
    </w:p>
    <w:p w14:paraId="321779CD">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7" w:name="_Toc132122418"/>
      <w:bookmarkStart w:id="68" w:name="_Toc132123441"/>
      <w:bookmarkStart w:id="69" w:name="_Toc132123636"/>
      <w:bookmarkStart w:id="70" w:name="_Toc132123840"/>
      <w:bookmarkStart w:id="71" w:name="_Toc24884_WPSOffice_Level2"/>
      <w:bookmarkStart w:id="72" w:name="_Toc132126156"/>
      <w:bookmarkStart w:id="73" w:name="_Toc132123883"/>
      <w:bookmarkStart w:id="74" w:name="_Toc132655778"/>
      <w:bookmarkStart w:id="75" w:name="_Toc132125576"/>
      <w:bookmarkStart w:id="76" w:name="_Toc132125985"/>
      <w:bookmarkStart w:id="77" w:name="_Toc132125097"/>
      <w:bookmarkStart w:id="78" w:name="_Toc132125153"/>
      <w:bookmarkStart w:id="79" w:name="_Toc132125039"/>
      <w:bookmarkStart w:id="80" w:name="_Toc132124596"/>
      <w:bookmarkStart w:id="81" w:name="_Toc493530208"/>
      <w:bookmarkStart w:id="82" w:name="_Toc132123549"/>
      <w:bookmarkStart w:id="83" w:name="_Toc132122121"/>
      <w:r>
        <w:rPr>
          <w:rFonts w:hint="eastAsia" w:hAnsi="宋体" w:cs="宋体"/>
          <w:b/>
          <w:bCs/>
          <w:color w:val="auto"/>
          <w:sz w:val="22"/>
          <w:highlight w:val="none"/>
        </w:rPr>
        <w:t>六、授予合同</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12992D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4" w:name="_Toc23038_WPSOffice_Level3"/>
      <w:r>
        <w:rPr>
          <w:rFonts w:hint="eastAsia" w:hAnsi="宋体" w:cs="宋体"/>
          <w:color w:val="auto"/>
          <w:sz w:val="22"/>
          <w:highlight w:val="none"/>
        </w:rPr>
        <w:t>1.决标</w:t>
      </w:r>
      <w:bookmarkEnd w:id="84"/>
    </w:p>
    <w:p w14:paraId="488690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评标结束后，评审小组按照竞争性磋商文件确定的评标办法推荐中标（成交）供应商。</w:t>
      </w:r>
    </w:p>
    <w:p w14:paraId="3A91E326">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5" w:name="_Toc764_WPSOffice_Level3"/>
      <w:r>
        <w:rPr>
          <w:rFonts w:hint="eastAsia" w:hAnsi="宋体" w:cs="宋体"/>
          <w:color w:val="auto"/>
          <w:sz w:val="22"/>
          <w:highlight w:val="none"/>
        </w:rPr>
        <w:t>2.</w:t>
      </w:r>
      <w:bookmarkEnd w:id="85"/>
      <w:r>
        <w:rPr>
          <w:rFonts w:hint="eastAsia" w:hAnsi="宋体" w:cs="宋体"/>
          <w:color w:val="auto"/>
          <w:sz w:val="22"/>
          <w:highlight w:val="none"/>
        </w:rPr>
        <w:t>中标（成交）通知书</w:t>
      </w:r>
    </w:p>
    <w:p w14:paraId="6A2D3E02">
      <w:pPr>
        <w:tabs>
          <w:tab w:val="left" w:pos="1069"/>
          <w:tab w:val="left" w:pos="2352"/>
        </w:tabs>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2.1采购人依法确认中标（成交）供应商后，代理机构在浙江省政府采购网上公示中标（成交）供应商名单，公示期限为1个工作日。同时向中标（成交）供应商发出中标（成交）通知书。</w:t>
      </w:r>
    </w:p>
    <w:p w14:paraId="630AB4E2">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2.2中标（成交）通知书对采购人和中标（成交）供应商具有法律约束力。中标（成交）通知书发出后，采购人改变中标结果或者中标（成交）供应商放弃中标的，应当承担法律责任。</w:t>
      </w:r>
    </w:p>
    <w:p w14:paraId="000F3CD6">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3.中标（成交）无效</w:t>
      </w:r>
    </w:p>
    <w:p w14:paraId="48A9948D">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1）发现中标（成交）供应商资格无效或中标（成交）供应商放弃成交或拒绝与采购人签订合同的,按相关法律法规执行，原则上重新开展政府采购活动。</w:t>
      </w:r>
    </w:p>
    <w:p w14:paraId="2E2BFF75">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2）有《中华人民共和国政府采购法实施条例》第七十一条、第七十二条、第七十三条、第七十四条规定的违法行为之一，由政府采购监管部门依法处理。</w:t>
      </w:r>
    </w:p>
    <w:p w14:paraId="55957DD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6" w:name="_Toc3709_WPSOffice_Level3"/>
      <w:r>
        <w:rPr>
          <w:rFonts w:hint="eastAsia" w:hAnsi="宋体" w:cs="宋体"/>
          <w:color w:val="auto"/>
          <w:sz w:val="22"/>
          <w:highlight w:val="none"/>
        </w:rPr>
        <w:t>4.签订合同</w:t>
      </w:r>
      <w:bookmarkEnd w:id="86"/>
    </w:p>
    <w:p w14:paraId="78424EBC">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6B530AB1">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4.2 竞争性磋商文件、中标（成交）供应商的投标（响应）文件及投标修改文件、评标过程中有关澄清文件及经双方签字的询标纪要（承诺）和中标（成交）通知书均作为合同附件。</w:t>
      </w:r>
    </w:p>
    <w:p w14:paraId="06710180">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4.3 拒签合同的责任</w:t>
      </w:r>
    </w:p>
    <w:p w14:paraId="5AC1D6F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中标（成交）供应商在规定时间内（30日历天）借故否认已经承诺的条件、拒签合同者，以违约处理，并赔偿采购人由此造成的直接经济损失；采购人重新组织采购的，所需费用由原中标（成交）供应商承担。</w:t>
      </w:r>
    </w:p>
    <w:p w14:paraId="3605EE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7" w:name="_Toc21884_WPSOffice_Level3"/>
      <w:r>
        <w:rPr>
          <w:rFonts w:hint="eastAsia" w:hAnsi="宋体" w:cs="宋体"/>
          <w:color w:val="auto"/>
          <w:sz w:val="22"/>
          <w:highlight w:val="none"/>
        </w:rPr>
        <w:t>5.</w:t>
      </w:r>
      <w:bookmarkEnd w:id="87"/>
      <w:r>
        <w:rPr>
          <w:rFonts w:hint="eastAsia" w:hAnsi="宋体" w:cs="宋体"/>
          <w:color w:val="auto"/>
          <w:sz w:val="22"/>
          <w:highlight w:val="none"/>
        </w:rPr>
        <w:t>履约保证金</w:t>
      </w:r>
    </w:p>
    <w:p w14:paraId="6ACD4EFA">
      <w:pPr>
        <w:tabs>
          <w:tab w:val="left" w:pos="2352"/>
        </w:tabs>
        <w:autoSpaceDE w:val="0"/>
        <w:autoSpaceDN w:val="0"/>
        <w:adjustRightInd w:val="0"/>
        <w:snapToGri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cs="宋体"/>
          <w:color w:val="auto"/>
          <w:sz w:val="22"/>
          <w:highlight w:val="none"/>
        </w:rPr>
        <w:t>。</w:t>
      </w:r>
    </w:p>
    <w:p w14:paraId="74FBA685">
      <w:pPr>
        <w:tabs>
          <w:tab w:val="left" w:pos="1069"/>
          <w:tab w:val="left" w:pos="2352"/>
        </w:tabs>
        <w:spacing w:line="400"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6.招标代理服务费</w:t>
      </w:r>
    </w:p>
    <w:p w14:paraId="17C456F2">
      <w:pPr>
        <w:tabs>
          <w:tab w:val="left" w:pos="1069"/>
          <w:tab w:val="left" w:pos="2352"/>
        </w:tabs>
        <w:spacing w:line="400" w:lineRule="exact"/>
        <w:ind w:firstLine="440" w:firstLineChars="200"/>
        <w:rPr>
          <w:rFonts w:ascii="宋体" w:hAnsi="宋体" w:cs="宋体"/>
          <w:color w:val="auto"/>
          <w:highlight w:val="none"/>
        </w:rPr>
      </w:pPr>
      <w:r>
        <w:rPr>
          <w:rFonts w:hint="eastAsia" w:ascii="宋体" w:hAnsi="宋体" w:cs="宋体"/>
          <w:color w:val="auto"/>
          <w:sz w:val="22"/>
          <w:highlight w:val="none"/>
        </w:rPr>
        <w:t>本项目向</w:t>
      </w:r>
      <w:r>
        <w:rPr>
          <w:rFonts w:hint="eastAsia" w:ascii="宋体" w:hAnsi="宋体" w:cs="宋体"/>
          <w:color w:val="auto"/>
          <w:sz w:val="22"/>
          <w:highlight w:val="none"/>
          <w:lang w:eastAsia="zh-CN"/>
        </w:rPr>
        <w:t>中标（成交）供应商</w:t>
      </w:r>
      <w:r>
        <w:rPr>
          <w:rFonts w:hint="eastAsia" w:ascii="宋体" w:hAnsi="宋体" w:cs="宋体"/>
          <w:color w:val="auto"/>
          <w:sz w:val="22"/>
          <w:highlight w:val="none"/>
        </w:rPr>
        <w:t>收取招标代理服务费，</w:t>
      </w:r>
      <w:r>
        <w:rPr>
          <w:rFonts w:hint="eastAsia" w:ascii="宋体" w:hAnsi="宋体" w:cs="宋体"/>
          <w:color w:val="auto"/>
          <w:sz w:val="22"/>
          <w:highlight w:val="none"/>
          <w:lang w:val="zh-CN"/>
        </w:rPr>
        <w:t>按照《国家计委关于印发&lt;招标代理服务收费管理暂行办法&gt;的通知》（计价格[2002]1980号）</w:t>
      </w:r>
      <w:r>
        <w:rPr>
          <w:rFonts w:hint="eastAsia" w:ascii="宋体" w:hAnsi="宋体" w:cs="宋体"/>
          <w:color w:val="auto"/>
          <w:sz w:val="22"/>
          <w:highlight w:val="none"/>
          <w:lang w:val="en-US" w:eastAsia="zh-CN"/>
        </w:rPr>
        <w:t>服务类</w:t>
      </w:r>
      <w:r>
        <w:rPr>
          <w:rFonts w:hint="eastAsia" w:ascii="宋体" w:hAnsi="宋体" w:cs="宋体"/>
          <w:color w:val="auto"/>
          <w:sz w:val="22"/>
          <w:highlight w:val="none"/>
          <w:lang w:val="zh-CN"/>
        </w:rPr>
        <w:t>（</w:t>
      </w:r>
      <w:r>
        <w:rPr>
          <w:rFonts w:hint="eastAsia" w:ascii="宋体" w:hAnsi="宋体" w:cs="宋体"/>
          <w:color w:val="auto"/>
          <w:sz w:val="22"/>
          <w:highlight w:val="none"/>
        </w:rPr>
        <w:t>中标价</w:t>
      </w:r>
      <w:r>
        <w:rPr>
          <w:rFonts w:hint="eastAsia" w:ascii="宋体" w:hAnsi="宋体" w:cs="宋体"/>
          <w:color w:val="auto"/>
          <w:sz w:val="22"/>
          <w:highlight w:val="none"/>
          <w:lang w:val="zh-CN"/>
        </w:rPr>
        <w:t>）标准收取</w:t>
      </w:r>
      <w:r>
        <w:rPr>
          <w:rFonts w:hint="eastAsia" w:ascii="宋体" w:hAnsi="宋体" w:cs="宋体"/>
          <w:color w:val="auto"/>
          <w:sz w:val="22"/>
          <w:highlight w:val="none"/>
        </w:rPr>
        <w:t>。招标代理费汇入账号以招标代理机构提供的为准。</w:t>
      </w:r>
    </w:p>
    <w:p w14:paraId="63BCA041">
      <w:pPr>
        <w:tabs>
          <w:tab w:val="left" w:pos="1069"/>
          <w:tab w:val="left" w:pos="2352"/>
        </w:tabs>
        <w:adjustRightInd w:val="0"/>
        <w:snapToGrid w:val="0"/>
        <w:spacing w:line="400" w:lineRule="exact"/>
        <w:jc w:val="left"/>
        <w:rPr>
          <w:rFonts w:ascii="宋体" w:hAnsi="宋体" w:cs="宋体"/>
          <w:b/>
          <w:bCs/>
          <w:color w:val="auto"/>
          <w:sz w:val="22"/>
          <w:highlight w:val="none"/>
        </w:rPr>
      </w:pPr>
      <w:r>
        <w:rPr>
          <w:rFonts w:hint="eastAsia" w:ascii="宋体" w:hAnsi="宋体" w:cs="宋体"/>
          <w:b/>
          <w:bCs/>
          <w:color w:val="auto"/>
          <w:sz w:val="22"/>
          <w:highlight w:val="none"/>
        </w:rPr>
        <w:t>七、投诉质疑</w:t>
      </w:r>
    </w:p>
    <w:p w14:paraId="10218F59">
      <w:pPr>
        <w:pStyle w:val="44"/>
        <w:tabs>
          <w:tab w:val="left" w:pos="1069"/>
          <w:tab w:val="left" w:pos="2352"/>
        </w:tabs>
        <w:snapToGrid w:val="0"/>
        <w:spacing w:before="0" w:line="400" w:lineRule="exact"/>
        <w:ind w:firstLine="440"/>
        <w:rPr>
          <w:rFonts w:ascii="宋体" w:hAnsi="宋体" w:cs="宋体"/>
          <w:color w:val="auto"/>
          <w:sz w:val="22"/>
          <w:szCs w:val="22"/>
          <w:highlight w:val="none"/>
        </w:rPr>
      </w:pPr>
      <w:r>
        <w:rPr>
          <w:rFonts w:hint="eastAsia" w:ascii="宋体" w:hAnsi="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3FB065F2">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1.供应商询问</w:t>
      </w:r>
    </w:p>
    <w:p w14:paraId="0CF2583E">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lang w:val="zh-CN"/>
        </w:rPr>
        <w:t>供应商对政府采购活动事项有疑问的，可以向招标代理机构提出询问，招标代理机构将对供应商依法提出的询问作出答复，但答复的内容不得涉及商业秘密。</w:t>
      </w:r>
    </w:p>
    <w:p w14:paraId="3FB94CF8">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2.供应商质疑</w:t>
      </w:r>
    </w:p>
    <w:p w14:paraId="6B77267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hAnsi="宋体" w:cs="宋体"/>
          <w:color w:val="auto"/>
          <w:sz w:val="22"/>
          <w:szCs w:val="22"/>
          <w:highlight w:val="none"/>
          <w:lang w:val="zh-CN"/>
        </w:rPr>
        <w:t>否则，不予受理：</w:t>
      </w:r>
    </w:p>
    <w:p w14:paraId="4BA5FF88">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（1）供应商如认为招标公告信息使自身的合法权益受到损害的，应于自招标公告发布之日起七个工作内以书面形式向招标代理机构提出质疑；</w:t>
      </w:r>
    </w:p>
    <w:p w14:paraId="507DD114">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（2）</w:t>
      </w:r>
      <w:r>
        <w:rPr>
          <w:rFonts w:hint="eastAsia" w:hAnsi="宋体" w:cs="宋体"/>
          <w:color w:val="auto"/>
          <w:sz w:val="22"/>
          <w:szCs w:val="22"/>
          <w:highlight w:val="none"/>
          <w:lang w:val="zh-CN"/>
        </w:rPr>
        <w:t>对竞争性磋商文件提出质疑的，质疑期限为供应商获得竞争性磋商文件之日或者竞争性磋商文件公告期限届满之日起计算。</w:t>
      </w:r>
    </w:p>
    <w:p w14:paraId="5BD7BBE9">
      <w:pPr>
        <w:tabs>
          <w:tab w:val="left" w:pos="1069"/>
          <w:tab w:val="left" w:pos="2352"/>
        </w:tabs>
        <w:autoSpaceDE w:val="0"/>
        <w:autoSpaceDN w:val="0"/>
        <w:spacing w:line="400" w:lineRule="exact"/>
        <w:jc w:val="left"/>
        <w:rPr>
          <w:rFonts w:ascii="宋体" w:hAnsi="宋体" w:cs="宋体"/>
          <w:color w:val="auto"/>
          <w:kern w:val="0"/>
          <w:sz w:val="22"/>
          <w:highlight w:val="none"/>
          <w:lang w:val="zh-CN"/>
        </w:rPr>
      </w:pPr>
      <w:r>
        <w:rPr>
          <w:rFonts w:hint="eastAsia" w:ascii="宋体" w:hAnsi="宋体" w:cs="宋体"/>
          <w:color w:val="auto"/>
          <w:sz w:val="22"/>
          <w:highlight w:val="none"/>
        </w:rPr>
        <w:t xml:space="preserve">   （3）</w:t>
      </w:r>
      <w:r>
        <w:rPr>
          <w:rFonts w:hint="eastAsia" w:ascii="宋体" w:hAnsi="宋体" w:cs="宋体"/>
          <w:color w:val="auto"/>
          <w:kern w:val="0"/>
          <w:sz w:val="22"/>
          <w:highlight w:val="none"/>
          <w:lang w:val="zh-CN"/>
        </w:rPr>
        <w:t>对采购过程提出质疑的，质疑期限为各采购程序环节结束之日起计算。</w:t>
      </w:r>
    </w:p>
    <w:p w14:paraId="3B3E4544">
      <w:pPr>
        <w:pStyle w:val="12"/>
        <w:tabs>
          <w:tab w:val="left" w:pos="1069"/>
          <w:tab w:val="left" w:pos="2352"/>
        </w:tabs>
        <w:spacing w:line="400" w:lineRule="exact"/>
        <w:rPr>
          <w:rFonts w:hint="eastAsia" w:hAnsi="宋体" w:cs="宋体"/>
          <w:color w:val="auto"/>
          <w:sz w:val="22"/>
          <w:szCs w:val="22"/>
          <w:highlight w:val="none"/>
          <w:lang w:val="zh-CN"/>
        </w:rPr>
      </w:pPr>
      <w:r>
        <w:rPr>
          <w:rFonts w:hint="eastAsia" w:hAnsi="宋体" w:cs="宋体"/>
          <w:color w:val="auto"/>
          <w:sz w:val="22"/>
          <w:szCs w:val="22"/>
          <w:highlight w:val="none"/>
          <w:lang w:val="zh-CN"/>
        </w:rPr>
        <w:t xml:space="preserve">   （4）对采购结果提出质疑的，质疑期限自采购结果公告（包括公示、预公告、结果变更公告等）期限届满之日起计算。</w:t>
      </w:r>
    </w:p>
    <w:p w14:paraId="2F0007E0">
      <w:pPr>
        <w:pStyle w:val="12"/>
        <w:tabs>
          <w:tab w:val="left" w:pos="1069"/>
          <w:tab w:val="left" w:pos="2352"/>
        </w:tabs>
        <w:spacing w:line="400" w:lineRule="exact"/>
        <w:ind w:firstLine="440" w:firstLineChars="200"/>
        <w:rPr>
          <w:rFonts w:hint="eastAsia" w:ascii="宋体" w:hAnsi="宋体" w:eastAsia="宋体" w:cs="宋体"/>
          <w:color w:val="auto"/>
          <w:kern w:val="0"/>
          <w:sz w:val="22"/>
          <w:szCs w:val="22"/>
          <w:highlight w:val="none"/>
          <w:lang w:val="zh-CN" w:eastAsia="zh-CN" w:bidi="ar-SA"/>
        </w:rPr>
      </w:pP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5</w:t>
      </w:r>
      <w:r>
        <w:rPr>
          <w:rFonts w:hint="eastAsia" w:ascii="宋体" w:hAnsi="宋体" w:eastAsia="宋体" w:cs="宋体"/>
          <w:color w:val="auto"/>
          <w:kern w:val="0"/>
          <w:sz w:val="22"/>
          <w:szCs w:val="22"/>
          <w:highlight w:val="none"/>
          <w:lang w:val="zh-CN" w:eastAsia="zh-CN" w:bidi="ar-SA"/>
        </w:rPr>
        <w:t>）供应商</w:t>
      </w:r>
      <w:r>
        <w:rPr>
          <w:rFonts w:hint="eastAsia" w:ascii="宋体" w:hAnsi="宋体" w:eastAsia="宋体" w:cs="宋体"/>
          <w:color w:val="auto"/>
          <w:kern w:val="0"/>
          <w:sz w:val="22"/>
          <w:szCs w:val="22"/>
          <w:highlight w:val="none"/>
          <w:lang w:val="en-US" w:eastAsia="zh-CN" w:bidi="ar-SA"/>
        </w:rPr>
        <w:t>须</w:t>
      </w:r>
      <w:r>
        <w:rPr>
          <w:rFonts w:hint="eastAsia" w:ascii="宋体" w:hAnsi="宋体" w:eastAsia="宋体" w:cs="宋体"/>
          <w:color w:val="auto"/>
          <w:kern w:val="0"/>
          <w:sz w:val="22"/>
          <w:szCs w:val="22"/>
          <w:highlight w:val="none"/>
          <w:lang w:val="zh-CN" w:eastAsia="zh-CN" w:bidi="ar-SA"/>
        </w:rPr>
        <w:t>在法定质疑期内一次性提出针对同一采购程序环节的质疑。</w:t>
      </w:r>
    </w:p>
    <w:p w14:paraId="30371A3D">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2.2供应商提交的质疑书由法定代表人签字（或盖章）并加盖单位公章。质疑书至少应包括下列主要内容：</w:t>
      </w:r>
    </w:p>
    <w:p w14:paraId="5A2B4B3A">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（1）供应商的名称、地址、邮政编码、联系人、联系电话；</w:t>
      </w:r>
    </w:p>
    <w:p w14:paraId="7B2955F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（2）质疑项目的名称、编号；</w:t>
      </w:r>
    </w:p>
    <w:p w14:paraId="61399A2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（3）具体、明确的质疑事项和与质疑事项相关的请求；</w:t>
      </w:r>
    </w:p>
    <w:p w14:paraId="64F7DE39">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（4）事实依据；</w:t>
      </w:r>
    </w:p>
    <w:p w14:paraId="643920A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（5）必要的法律依据；</w:t>
      </w:r>
    </w:p>
    <w:p w14:paraId="6392B0A1">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（6）提出质疑的日期。</w:t>
      </w:r>
    </w:p>
    <w:p w14:paraId="55A81EE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供应商为自然人的，应当由本人签字；供应商为法人或其他组织的，应当由法定代表人、主要负责人，或者其授权代表签字或者盖章，并加盖公章。</w:t>
      </w:r>
    </w:p>
    <w:p w14:paraId="6E48AAF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2.3采购人、采购代理机构应当在收到供应商的书面质疑后七个工作日内作出答复，并以书面形式通知质疑供应商和其他有关供应商，但答复的内容不得涉及商业秘密。</w:t>
      </w:r>
    </w:p>
    <w:p w14:paraId="0D7C3E76">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3.供应商投诉</w:t>
      </w:r>
    </w:p>
    <w:p w14:paraId="09345CA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3.1供应商投诉应当提交投诉书和必要的证明材料。供应商投诉的事项不得超出已质疑事项的范围（基于质疑答复内容提出的投诉事项除外）。</w:t>
      </w:r>
    </w:p>
    <w:p w14:paraId="23AB51DF">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53B3D88A">
      <w:pPr>
        <w:pStyle w:val="30"/>
        <w:tabs>
          <w:tab w:val="left" w:pos="1069"/>
          <w:tab w:val="left" w:pos="2352"/>
        </w:tabs>
        <w:ind w:left="0" w:leftChars="0" w:firstLine="0" w:firstLineChars="0"/>
        <w:rPr>
          <w:rFonts w:ascii="宋体" w:hAnsi="宋体"/>
          <w:b/>
          <w:bCs/>
          <w:color w:val="auto"/>
          <w:highlight w:val="none"/>
        </w:rPr>
      </w:pPr>
      <w:r>
        <w:rPr>
          <w:rFonts w:hint="eastAsia" w:ascii="宋体" w:hAnsi="宋体"/>
          <w:color w:val="auto"/>
          <w:highlight w:val="none"/>
        </w:rPr>
        <w:t>质疑函范本、投诉书范本请至浙江省政府采购网下载专区下载。</w:t>
      </w:r>
    </w:p>
    <w:p w14:paraId="7191A7D2">
      <w:pPr>
        <w:pStyle w:val="42"/>
        <w:spacing w:line="400" w:lineRule="exact"/>
        <w:rPr>
          <w:rFonts w:hAnsi="宋体" w:cs="宋体"/>
          <w:color w:val="auto"/>
          <w:sz w:val="22"/>
          <w:szCs w:val="22"/>
          <w:highlight w:val="none"/>
        </w:rPr>
      </w:pPr>
      <w:bookmarkStart w:id="88" w:name="_Toc29876_WPSOffice_Level1"/>
      <w:r>
        <w:rPr>
          <w:rFonts w:hint="eastAsia" w:hAnsi="宋体" w:cs="宋体"/>
          <w:b/>
          <w:bCs/>
          <w:color w:val="auto"/>
          <w:sz w:val="22"/>
          <w:szCs w:val="22"/>
          <w:highlight w:val="none"/>
        </w:rPr>
        <w:t>4.线上质疑及投诉</w:t>
      </w:r>
    </w:p>
    <w:p w14:paraId="028A4F7D">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958B658">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质疑函范本、投诉书范本请至浙江政府采购网下载专区下载。</w:t>
      </w:r>
    </w:p>
    <w:p w14:paraId="6DE5A86C">
      <w:pPr>
        <w:pStyle w:val="42"/>
        <w:spacing w:line="400" w:lineRule="exact"/>
        <w:ind w:firstLine="440" w:firstLineChars="200"/>
        <w:rPr>
          <w:rFonts w:hAnsi="宋体" w:cs="宋体"/>
          <w:color w:val="auto"/>
          <w:sz w:val="22"/>
          <w:szCs w:val="22"/>
          <w:highlight w:val="none"/>
        </w:rPr>
      </w:pPr>
    </w:p>
    <w:p w14:paraId="6303503A">
      <w:pPr>
        <w:tabs>
          <w:tab w:val="left" w:pos="1069"/>
          <w:tab w:val="left" w:pos="2352"/>
        </w:tabs>
        <w:jc w:val="center"/>
        <w:rPr>
          <w:rFonts w:ascii="宋体" w:hAnsi="宋体" w:cs="宋体"/>
          <w:b/>
          <w:color w:val="auto"/>
          <w:sz w:val="32"/>
          <w:szCs w:val="32"/>
          <w:highlight w:val="none"/>
        </w:rPr>
      </w:pPr>
    </w:p>
    <w:p w14:paraId="53644611">
      <w:pPr>
        <w:tabs>
          <w:tab w:val="left" w:pos="1069"/>
          <w:tab w:val="left" w:pos="2352"/>
        </w:tabs>
        <w:jc w:val="center"/>
        <w:rPr>
          <w:rFonts w:ascii="宋体" w:hAnsi="宋体" w:cs="宋体"/>
          <w:b/>
          <w:color w:val="auto"/>
          <w:sz w:val="32"/>
          <w:szCs w:val="32"/>
          <w:highlight w:val="none"/>
        </w:rPr>
      </w:pPr>
    </w:p>
    <w:p w14:paraId="4F451E7D">
      <w:pPr>
        <w:tabs>
          <w:tab w:val="left" w:pos="1069"/>
          <w:tab w:val="left" w:pos="2352"/>
        </w:tabs>
        <w:jc w:val="center"/>
        <w:rPr>
          <w:rFonts w:ascii="宋体" w:hAnsi="宋体" w:cs="宋体"/>
          <w:b/>
          <w:color w:val="auto"/>
          <w:sz w:val="32"/>
          <w:szCs w:val="32"/>
          <w:highlight w:val="none"/>
        </w:rPr>
      </w:pPr>
    </w:p>
    <w:p w14:paraId="2B593C7B">
      <w:pPr>
        <w:tabs>
          <w:tab w:val="left" w:pos="1069"/>
          <w:tab w:val="left" w:pos="2352"/>
        </w:tabs>
        <w:jc w:val="center"/>
        <w:rPr>
          <w:rFonts w:ascii="宋体" w:hAnsi="宋体" w:cs="宋体"/>
          <w:b/>
          <w:color w:val="auto"/>
          <w:sz w:val="32"/>
          <w:szCs w:val="32"/>
          <w:highlight w:val="none"/>
        </w:rPr>
      </w:pPr>
    </w:p>
    <w:p w14:paraId="4A220810">
      <w:pPr>
        <w:tabs>
          <w:tab w:val="left" w:pos="1069"/>
          <w:tab w:val="left" w:pos="2352"/>
        </w:tabs>
        <w:jc w:val="center"/>
        <w:rPr>
          <w:rFonts w:ascii="宋体" w:hAnsi="宋体" w:cs="宋体"/>
          <w:b/>
          <w:color w:val="auto"/>
          <w:sz w:val="32"/>
          <w:szCs w:val="32"/>
          <w:highlight w:val="none"/>
        </w:rPr>
      </w:pPr>
    </w:p>
    <w:p w14:paraId="475C345D">
      <w:pPr>
        <w:pStyle w:val="3"/>
        <w:rPr>
          <w:rFonts w:ascii="宋体" w:hAnsi="宋体" w:cs="宋体"/>
          <w:b/>
          <w:color w:val="auto"/>
          <w:sz w:val="32"/>
          <w:szCs w:val="32"/>
          <w:highlight w:val="none"/>
        </w:rPr>
      </w:pPr>
    </w:p>
    <w:p w14:paraId="24BD4B89">
      <w:pPr>
        <w:tabs>
          <w:tab w:val="left" w:pos="1069"/>
          <w:tab w:val="left" w:pos="2352"/>
        </w:tabs>
        <w:jc w:val="center"/>
        <w:rPr>
          <w:rFonts w:ascii="宋体" w:hAnsi="宋体" w:cs="宋体"/>
          <w:b/>
          <w:color w:val="auto"/>
          <w:sz w:val="32"/>
          <w:szCs w:val="32"/>
          <w:highlight w:val="none"/>
        </w:rPr>
      </w:pPr>
    </w:p>
    <w:p w14:paraId="4FEBF03E">
      <w:pPr>
        <w:tabs>
          <w:tab w:val="left" w:pos="1069"/>
          <w:tab w:val="left" w:pos="2352"/>
        </w:tabs>
        <w:jc w:val="center"/>
        <w:rPr>
          <w:rFonts w:ascii="宋体" w:hAnsi="宋体" w:cs="宋体"/>
          <w:b/>
          <w:color w:val="auto"/>
          <w:sz w:val="32"/>
          <w:szCs w:val="32"/>
          <w:highlight w:val="none"/>
        </w:rPr>
      </w:pPr>
    </w:p>
    <w:p w14:paraId="76E076DB">
      <w:pPr>
        <w:tabs>
          <w:tab w:val="left" w:pos="1069"/>
          <w:tab w:val="left" w:pos="2352"/>
        </w:tabs>
        <w:jc w:val="center"/>
        <w:rPr>
          <w:rFonts w:ascii="宋体" w:hAnsi="宋体" w:cs="宋体"/>
          <w:b/>
          <w:bCs/>
          <w:color w:val="auto"/>
          <w:sz w:val="32"/>
          <w:szCs w:val="32"/>
          <w:highlight w:val="none"/>
          <w:lang w:val="zh-CN"/>
        </w:rPr>
      </w:pPr>
      <w:r>
        <w:rPr>
          <w:rFonts w:hint="eastAsia" w:ascii="宋体" w:hAnsi="宋体" w:cs="宋体"/>
          <w:b/>
          <w:color w:val="auto"/>
          <w:sz w:val="32"/>
          <w:szCs w:val="32"/>
          <w:highlight w:val="none"/>
        </w:rPr>
        <w:t>第四部分、</w:t>
      </w:r>
      <w:r>
        <w:rPr>
          <w:rFonts w:hint="eastAsia" w:ascii="宋体" w:hAnsi="宋体" w:cs="宋体"/>
          <w:b/>
          <w:bCs/>
          <w:color w:val="auto"/>
          <w:sz w:val="32"/>
          <w:szCs w:val="32"/>
          <w:highlight w:val="none"/>
          <w:lang w:val="zh-CN"/>
        </w:rPr>
        <w:t>政府采购政策功能相关说明</w:t>
      </w:r>
    </w:p>
    <w:p w14:paraId="7B4C2128">
      <w:pPr>
        <w:tabs>
          <w:tab w:val="left" w:pos="1069"/>
          <w:tab w:val="left" w:pos="2352"/>
        </w:tabs>
        <w:jc w:val="left"/>
        <w:rPr>
          <w:rFonts w:ascii="宋体"/>
          <w:b/>
          <w:bCs/>
          <w:color w:val="auto"/>
          <w:sz w:val="22"/>
          <w:highlight w:val="none"/>
        </w:rPr>
      </w:pPr>
      <w:bookmarkStart w:id="89" w:name="_Toc25899_WPSOffice_Level2"/>
      <w:bookmarkStart w:id="90" w:name="_Toc10483_WPSOffice_Level2"/>
      <w:r>
        <w:rPr>
          <w:rFonts w:hint="eastAsia" w:ascii="宋体"/>
          <w:b/>
          <w:bCs/>
          <w:color w:val="auto"/>
          <w:sz w:val="22"/>
          <w:highlight w:val="none"/>
        </w:rPr>
        <w:t>一、</w:t>
      </w:r>
      <w:bookmarkEnd w:id="89"/>
      <w:r>
        <w:rPr>
          <w:rFonts w:hint="eastAsia" w:ascii="宋体"/>
          <w:b/>
          <w:bCs/>
          <w:color w:val="auto"/>
          <w:sz w:val="22"/>
          <w:highlight w:val="none"/>
        </w:rPr>
        <w:t>中小企业（含监狱企业、残疾人福利性单位）扶持政策说明</w:t>
      </w:r>
    </w:p>
    <w:p w14:paraId="3EE98BD0">
      <w:pPr>
        <w:tabs>
          <w:tab w:val="left" w:pos="1069"/>
          <w:tab w:val="left" w:pos="2352"/>
        </w:tabs>
        <w:spacing w:line="440" w:lineRule="atLeast"/>
        <w:jc w:val="left"/>
        <w:rPr>
          <w:rFonts w:ascii="宋体"/>
          <w:color w:val="auto"/>
          <w:sz w:val="22"/>
          <w:highlight w:val="none"/>
        </w:rPr>
      </w:pPr>
      <w:r>
        <w:rPr>
          <w:rFonts w:ascii="宋体"/>
          <w:color w:val="auto"/>
          <w:sz w:val="22"/>
          <w:highlight w:val="none"/>
        </w:rPr>
        <w:t>1</w:t>
      </w:r>
      <w:r>
        <w:rPr>
          <w:rFonts w:hint="eastAsia" w:ascii="宋体"/>
          <w:color w:val="auto"/>
          <w:sz w:val="22"/>
          <w:highlight w:val="none"/>
        </w:rPr>
        <w:t>、文件依据</w:t>
      </w:r>
    </w:p>
    <w:p w14:paraId="5C043EC5">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1</w:t>
      </w:r>
      <w:r>
        <w:rPr>
          <w:rFonts w:hint="eastAsia" w:ascii="宋体"/>
          <w:color w:val="auto"/>
          <w:sz w:val="22"/>
          <w:highlight w:val="none"/>
        </w:rPr>
        <w:t>）《政府采购促进中小企业发展管理办法》（财库﹝2020﹞46 号）</w:t>
      </w:r>
    </w:p>
    <w:p w14:paraId="6E930FEE">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2</w:t>
      </w:r>
      <w:r>
        <w:rPr>
          <w:rFonts w:hint="eastAsia" w:ascii="宋体"/>
          <w:color w:val="auto"/>
          <w:sz w:val="22"/>
          <w:highlight w:val="none"/>
        </w:rPr>
        <w:t>）浙江省省财政厅《关于开展政府采购供应商网上注册登记和诚信管理工作的通知》（浙财采监〔2010〕8号)</w:t>
      </w:r>
    </w:p>
    <w:p w14:paraId="6BA30D0A">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（3）《工业和信息化部、国家统计局、国家发展和改革委员会、财政部关于印发中小企业划型标准规定的通知》（工信部联企业﹝2011﹞300号）</w:t>
      </w:r>
    </w:p>
    <w:p w14:paraId="6F6A1294">
      <w:pPr>
        <w:tabs>
          <w:tab w:val="left" w:pos="2352"/>
        </w:tabs>
        <w:spacing w:line="440" w:lineRule="atLeast"/>
        <w:jc w:val="left"/>
        <w:rPr>
          <w:rFonts w:ascii="宋体"/>
          <w:color w:val="auto"/>
          <w:sz w:val="22"/>
          <w:highlight w:val="none"/>
        </w:rPr>
      </w:pPr>
      <w:r>
        <w:rPr>
          <w:rFonts w:hint="eastAsia" w:ascii="宋体"/>
          <w:color w:val="auto"/>
          <w:sz w:val="22"/>
          <w:highlight w:val="none"/>
        </w:rPr>
        <w:t>（4）财政部、司法部《关于政府采购支持监狱企业发展有关问题的通知》（财库〔</w:t>
      </w:r>
      <w:r>
        <w:rPr>
          <w:rFonts w:ascii="宋体"/>
          <w:color w:val="auto"/>
          <w:sz w:val="22"/>
          <w:highlight w:val="none"/>
        </w:rPr>
        <w:t>2014</w:t>
      </w:r>
      <w:r>
        <w:rPr>
          <w:rFonts w:hint="eastAsia" w:ascii="宋体"/>
          <w:color w:val="auto"/>
          <w:sz w:val="22"/>
          <w:highlight w:val="none"/>
        </w:rPr>
        <w:t>〕</w:t>
      </w:r>
      <w:r>
        <w:rPr>
          <w:rFonts w:ascii="宋体"/>
          <w:color w:val="auto"/>
          <w:sz w:val="22"/>
          <w:highlight w:val="none"/>
        </w:rPr>
        <w:t>68</w:t>
      </w:r>
      <w:r>
        <w:rPr>
          <w:rFonts w:hint="eastAsia" w:ascii="宋体"/>
          <w:color w:val="auto"/>
          <w:sz w:val="22"/>
          <w:highlight w:val="none"/>
        </w:rPr>
        <w:t>号）</w:t>
      </w:r>
    </w:p>
    <w:p w14:paraId="728C531B">
      <w:pPr>
        <w:tabs>
          <w:tab w:val="left" w:pos="2352"/>
        </w:tabs>
        <w:spacing w:line="440" w:lineRule="atLeast"/>
        <w:jc w:val="left"/>
        <w:rPr>
          <w:rFonts w:ascii="宋体"/>
          <w:color w:val="auto"/>
          <w:sz w:val="22"/>
          <w:highlight w:val="none"/>
        </w:rPr>
      </w:pPr>
      <w:r>
        <w:rPr>
          <w:rFonts w:hint="eastAsia" w:ascii="宋体"/>
          <w:color w:val="auto"/>
          <w:sz w:val="22"/>
          <w:highlight w:val="none"/>
        </w:rPr>
        <w:t>（5）《财政部民政部中国残疾人联合会关于促进残疾人就业政府采购政策的通知》（财库〔</w:t>
      </w:r>
      <w:r>
        <w:rPr>
          <w:rFonts w:ascii="宋体"/>
          <w:color w:val="auto"/>
          <w:sz w:val="22"/>
          <w:highlight w:val="none"/>
        </w:rPr>
        <w:t>2017</w:t>
      </w:r>
      <w:r>
        <w:rPr>
          <w:rFonts w:hint="eastAsia" w:ascii="宋体"/>
          <w:color w:val="auto"/>
          <w:sz w:val="22"/>
          <w:highlight w:val="none"/>
        </w:rPr>
        <w:t>〕</w:t>
      </w:r>
      <w:r>
        <w:rPr>
          <w:rFonts w:ascii="宋体"/>
          <w:color w:val="auto"/>
          <w:sz w:val="22"/>
          <w:highlight w:val="none"/>
        </w:rPr>
        <w:t xml:space="preserve"> 141</w:t>
      </w:r>
      <w:r>
        <w:rPr>
          <w:rFonts w:hint="eastAsia" w:ascii="宋体"/>
          <w:color w:val="auto"/>
          <w:sz w:val="22"/>
          <w:highlight w:val="none"/>
        </w:rPr>
        <w:t>号）</w:t>
      </w:r>
    </w:p>
    <w:p w14:paraId="57FFDCE6">
      <w:pPr>
        <w:tabs>
          <w:tab w:val="left" w:pos="1069"/>
          <w:tab w:val="left" w:pos="2352"/>
        </w:tabs>
        <w:spacing w:line="440" w:lineRule="atLeast"/>
        <w:jc w:val="left"/>
        <w:rPr>
          <w:rFonts w:hAnsi="宋体"/>
          <w:color w:val="auto"/>
          <w:sz w:val="22"/>
          <w:highlight w:val="none"/>
        </w:rPr>
      </w:pPr>
      <w:r>
        <w:rPr>
          <w:rFonts w:hint="eastAsia" w:ascii="宋体"/>
          <w:color w:val="auto"/>
          <w:sz w:val="22"/>
          <w:highlight w:val="none"/>
        </w:rPr>
        <w:t>（6）</w:t>
      </w:r>
      <w:r>
        <w:rPr>
          <w:rFonts w:hint="eastAsia" w:hAnsi="宋体"/>
          <w:color w:val="auto"/>
          <w:sz w:val="22"/>
          <w:highlight w:val="none"/>
        </w:rPr>
        <w:t>《关于进一步加大政府采购支持中小企业力度的通知》（财库〔2022〕19号）；</w:t>
      </w:r>
    </w:p>
    <w:p w14:paraId="40B4717A">
      <w:pPr>
        <w:tabs>
          <w:tab w:val="left" w:pos="1069"/>
          <w:tab w:val="left" w:pos="2352"/>
        </w:tabs>
        <w:spacing w:line="440" w:lineRule="atLeast"/>
        <w:jc w:val="left"/>
        <w:rPr>
          <w:rFonts w:hAnsi="宋体"/>
          <w:color w:val="auto"/>
          <w:sz w:val="22"/>
          <w:highlight w:val="none"/>
        </w:rPr>
      </w:pPr>
      <w:r>
        <w:rPr>
          <w:rFonts w:hint="eastAsia" w:hAnsi="宋体" w:cs="宋体"/>
          <w:color w:val="auto"/>
          <w:sz w:val="22"/>
          <w:highlight w:val="none"/>
        </w:rPr>
        <w:t>（7）《浙江省财政厅关于进一步发挥政府采购政策 功能全力推动经济稳进提质的通知》（浙财采监〔2022〕3号）</w:t>
      </w:r>
      <w:r>
        <w:rPr>
          <w:rFonts w:hint="eastAsia" w:hAnsi="宋体"/>
          <w:color w:val="auto"/>
          <w:sz w:val="22"/>
          <w:highlight w:val="none"/>
        </w:rPr>
        <w:t>；</w:t>
      </w:r>
    </w:p>
    <w:p w14:paraId="07598E74">
      <w:pPr>
        <w:tabs>
          <w:tab w:val="left" w:pos="1069"/>
          <w:tab w:val="left" w:pos="2352"/>
        </w:tabs>
        <w:spacing w:line="440" w:lineRule="atLeast"/>
        <w:jc w:val="left"/>
        <w:rPr>
          <w:color w:val="auto"/>
          <w:highlight w:val="none"/>
        </w:rPr>
      </w:pPr>
      <w:r>
        <w:rPr>
          <w:rFonts w:hint="eastAsia" w:hAnsi="宋体" w:cs="宋体"/>
          <w:color w:val="auto"/>
          <w:sz w:val="22"/>
          <w:highlight w:val="none"/>
        </w:rPr>
        <w:t>（8）《关于进一步加大政府采购 支持中小企业力度 助力扎实稳住经济 的通知》（浙财采监〔2022〕8号）</w:t>
      </w:r>
    </w:p>
    <w:p w14:paraId="0BC18DF5">
      <w:pPr>
        <w:tabs>
          <w:tab w:val="left" w:pos="1069"/>
          <w:tab w:val="left" w:pos="2352"/>
        </w:tabs>
        <w:spacing w:line="440" w:lineRule="atLeast"/>
        <w:jc w:val="left"/>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
          <w:bCs/>
          <w:color w:val="auto"/>
          <w:sz w:val="22"/>
          <w:highlight w:val="none"/>
          <w:u w:val="single"/>
        </w:rPr>
        <w:t>符合要求提供以下证明材料（附在《商务技术文件》中）</w:t>
      </w:r>
      <w:r>
        <w:rPr>
          <w:rFonts w:hint="eastAsia" w:ascii="宋体" w:hAnsi="宋体" w:cs="宋体"/>
          <w:color w:val="auto"/>
          <w:sz w:val="22"/>
          <w:highlight w:val="none"/>
        </w:rPr>
        <w:t>：</w:t>
      </w:r>
    </w:p>
    <w:p w14:paraId="54770B3E">
      <w:pPr>
        <w:tabs>
          <w:tab w:val="left" w:pos="2352"/>
        </w:tabs>
        <w:spacing w:line="440" w:lineRule="atLeast"/>
        <w:jc w:val="left"/>
        <w:rPr>
          <w:rFonts w:ascii="宋体"/>
          <w:color w:val="auto"/>
          <w:sz w:val="22"/>
          <w:highlight w:val="none"/>
        </w:rPr>
      </w:pPr>
      <w:r>
        <w:rPr>
          <w:rFonts w:hint="eastAsia" w:ascii="宋体"/>
          <w:color w:val="auto"/>
          <w:sz w:val="22"/>
          <w:highlight w:val="none"/>
        </w:rPr>
        <w:t>（1）中小企业：中小企业声明函（原件，加盖供应商公章，格式见附件1）</w:t>
      </w:r>
    </w:p>
    <w:p w14:paraId="5EBFD230">
      <w:pPr>
        <w:tabs>
          <w:tab w:val="left" w:pos="2352"/>
        </w:tabs>
        <w:spacing w:line="440" w:lineRule="atLeast"/>
        <w:jc w:val="left"/>
        <w:rPr>
          <w:rFonts w:ascii="宋体"/>
          <w:color w:val="auto"/>
          <w:sz w:val="22"/>
          <w:highlight w:val="none"/>
        </w:rPr>
      </w:pPr>
      <w:r>
        <w:rPr>
          <w:rFonts w:hint="eastAsia" w:ascii="宋体"/>
          <w:color w:val="auto"/>
          <w:sz w:val="22"/>
          <w:highlight w:val="none"/>
        </w:rPr>
        <w:t>（2）残疾人福利性单位：残疾人福利性单位声明函（原件，加盖供应商公章，格式见附件1）</w:t>
      </w:r>
    </w:p>
    <w:p w14:paraId="3D49D2A2">
      <w:pPr>
        <w:tabs>
          <w:tab w:val="left" w:pos="2352"/>
        </w:tabs>
        <w:spacing w:line="440" w:lineRule="atLeast"/>
        <w:jc w:val="left"/>
        <w:rPr>
          <w:rFonts w:ascii="宋体"/>
          <w:color w:val="auto"/>
          <w:sz w:val="22"/>
          <w:highlight w:val="none"/>
        </w:rPr>
      </w:pPr>
      <w:r>
        <w:rPr>
          <w:rFonts w:hint="eastAsia" w:ascii="宋体"/>
          <w:color w:val="auto"/>
          <w:sz w:val="22"/>
          <w:highlight w:val="none"/>
        </w:rPr>
        <w:t>（3）监狱企业：提供由省级以上监狱管理局、戒毒管理局（含新疆生产建设兵团）出具的属于监狱企业的证明文件（原件）</w:t>
      </w:r>
    </w:p>
    <w:p w14:paraId="172A5FEE">
      <w:pPr>
        <w:tabs>
          <w:tab w:val="left" w:pos="2352"/>
        </w:tabs>
        <w:spacing w:line="440" w:lineRule="atLeast"/>
        <w:jc w:val="left"/>
        <w:rPr>
          <w:rFonts w:ascii="宋体"/>
          <w:color w:val="auto"/>
          <w:sz w:val="22"/>
          <w:highlight w:val="none"/>
        </w:rPr>
      </w:pPr>
      <w:r>
        <w:rPr>
          <w:rFonts w:hint="eastAsia" w:ascii="宋体"/>
          <w:color w:val="auto"/>
          <w:sz w:val="22"/>
          <w:highlight w:val="none"/>
        </w:rPr>
        <w:t>3、扶持政策说明：</w:t>
      </w:r>
    </w:p>
    <w:p w14:paraId="5BF0D080">
      <w:pPr>
        <w:tabs>
          <w:tab w:val="left" w:pos="2352"/>
        </w:tabs>
        <w:spacing w:line="440" w:lineRule="atLeast"/>
        <w:jc w:val="left"/>
        <w:rPr>
          <w:rFonts w:ascii="宋体"/>
          <w:color w:val="auto"/>
          <w:sz w:val="22"/>
          <w:highlight w:val="none"/>
        </w:rPr>
      </w:pPr>
      <w:r>
        <w:rPr>
          <w:rFonts w:hint="eastAsia" w:ascii="宋体"/>
          <w:color w:val="auto"/>
          <w:sz w:val="22"/>
          <w:highlight w:val="none"/>
        </w:rPr>
        <w:t>残疾人福利性单位、监狱企业参加投标视同小微企业。</w:t>
      </w:r>
    </w:p>
    <w:p w14:paraId="1FA21131">
      <w:pPr>
        <w:tabs>
          <w:tab w:val="left" w:pos="2352"/>
        </w:tabs>
        <w:spacing w:line="440" w:lineRule="atLeast"/>
        <w:jc w:val="left"/>
        <w:rPr>
          <w:rFonts w:ascii="宋体"/>
          <w:color w:val="auto"/>
          <w:sz w:val="22"/>
          <w:highlight w:val="none"/>
        </w:rPr>
      </w:pPr>
      <w:r>
        <w:rPr>
          <w:rFonts w:hint="eastAsia" w:ascii="宋体"/>
          <w:color w:val="auto"/>
          <w:sz w:val="22"/>
          <w:highlight w:val="none"/>
        </w:rPr>
        <w:t>4、根据《浙江省财政厅关于进一步加大政府采购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3D2E034B">
      <w:pPr>
        <w:tabs>
          <w:tab w:val="left" w:pos="2352"/>
        </w:tabs>
        <w:spacing w:line="440" w:lineRule="atLeast"/>
        <w:jc w:val="left"/>
        <w:rPr>
          <w:rFonts w:ascii="宋体"/>
          <w:color w:val="auto"/>
          <w:sz w:val="22"/>
          <w:highlight w:val="none"/>
        </w:rPr>
      </w:pPr>
      <w:r>
        <w:rPr>
          <w:rFonts w:hint="eastAsia" w:ascii="宋体"/>
          <w:color w:val="auto"/>
          <w:sz w:val="22"/>
          <w:highlight w:val="none"/>
        </w:rPr>
        <w:t>5、</w:t>
      </w:r>
      <w:r>
        <w:rPr>
          <w:rFonts w:hint="eastAsia" w:ascii="宋体"/>
          <w:b/>
          <w:bCs/>
          <w:color w:val="auto"/>
          <w:sz w:val="22"/>
          <w:highlight w:val="none"/>
        </w:rPr>
        <w:t xml:space="preserve">本项目采购标的所属行业为  </w:t>
      </w:r>
      <w:r>
        <w:rPr>
          <w:rFonts w:hint="eastAsia" w:ascii="宋体"/>
          <w:b/>
          <w:bCs/>
          <w:color w:val="auto"/>
          <w:sz w:val="22"/>
          <w:highlight w:val="none"/>
          <w:u w:val="single"/>
        </w:rPr>
        <w:t>其他未列明行业</w:t>
      </w:r>
      <w:r>
        <w:rPr>
          <w:rFonts w:hint="eastAsia" w:ascii="宋体" w:hAnsi="宋体" w:cs="宋体"/>
          <w:b/>
          <w:bCs/>
          <w:color w:val="auto"/>
          <w:sz w:val="22"/>
          <w:highlight w:val="none"/>
          <w:u w:val="single"/>
        </w:rPr>
        <w:t>。</w:t>
      </w:r>
    </w:p>
    <w:p w14:paraId="0D182186">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6、</w:t>
      </w:r>
      <w:r>
        <w:rPr>
          <w:rFonts w:hint="eastAsia" w:ascii="宋体" w:hAnsi="宋体" w:cs="宋体"/>
          <w:b/>
          <w:bCs/>
          <w:color w:val="auto"/>
          <w:sz w:val="22"/>
          <w:highlight w:val="none"/>
          <w:u w:val="single"/>
        </w:rPr>
        <w:t>本项目对小型和微型企业产品的价格给予扣除10%，按扣除后的价格参与评审。</w:t>
      </w:r>
    </w:p>
    <w:p w14:paraId="5FA51A51">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附件1</w:t>
      </w:r>
    </w:p>
    <w:p w14:paraId="3AF9745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中小企业声明函（服务）</w:t>
      </w:r>
    </w:p>
    <w:p w14:paraId="1FEE0A5B">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本公司（联合体）郑重声明，根据《政府采购促进中小企业发展管理办法》（财库﹝2020﹞46 号）的规定，本公司 （联合体）参加</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泰顺县司前畲族人民政府</w:t>
      </w:r>
      <w:r>
        <w:rPr>
          <w:rFonts w:ascii="宋体" w:hAnsi="宋体" w:cs="宋体"/>
          <w:color w:val="auto"/>
          <w:sz w:val="22"/>
          <w:highlight w:val="none"/>
          <w:u w:val="single"/>
        </w:rPr>
        <w:t>）</w:t>
      </w:r>
      <w:r>
        <w:rPr>
          <w:rFonts w:ascii="宋体" w:hAnsi="宋体" w:cs="宋体"/>
          <w:color w:val="auto"/>
          <w:sz w:val="22"/>
          <w:highlight w:val="none"/>
        </w:rPr>
        <w:t>的</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2024年泰顺县司前畲族镇黄桥村晓燕自然村上燕农田宜机化改造项目</w:t>
      </w:r>
      <w:r>
        <w:rPr>
          <w:rFonts w:ascii="宋体" w:hAnsi="宋体" w:cs="宋体"/>
          <w:color w:val="auto"/>
          <w:sz w:val="22"/>
          <w:highlight w:val="none"/>
          <w:u w:val="single"/>
        </w:rPr>
        <w:t>）</w:t>
      </w:r>
      <w:r>
        <w:rPr>
          <w:rFonts w:ascii="宋体" w:hAnsi="宋体" w:cs="宋体"/>
          <w:color w:val="auto"/>
          <w:sz w:val="22"/>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461B5CC2">
      <w:pPr>
        <w:numPr>
          <w:ilvl w:val="0"/>
          <w:numId w:val="6"/>
        </w:numPr>
        <w:tabs>
          <w:tab w:val="left" w:pos="1069"/>
          <w:tab w:val="left" w:pos="2352"/>
        </w:tabs>
        <w:spacing w:line="400" w:lineRule="exact"/>
        <w:ind w:firstLine="442" w:firstLineChars="200"/>
        <w:rPr>
          <w:rFonts w:ascii="宋体" w:hAnsi="宋体" w:cs="宋体"/>
          <w:color w:val="auto"/>
          <w:sz w:val="22"/>
          <w:highlight w:val="none"/>
        </w:rPr>
      </w:pPr>
      <w:r>
        <w:rPr>
          <w:rFonts w:ascii="宋体" w:hAnsi="宋体" w:cs="宋体"/>
          <w:b/>
          <w:bCs/>
          <w:color w:val="auto"/>
          <w:sz w:val="22"/>
          <w:highlight w:val="none"/>
          <w:u w:val="single"/>
        </w:rPr>
        <w:t>（</w:t>
      </w:r>
      <w:r>
        <w:rPr>
          <w:rFonts w:hint="eastAsia" w:ascii="宋体" w:hAnsi="宋体" w:cs="宋体"/>
          <w:b/>
          <w:bCs/>
          <w:color w:val="auto"/>
          <w:sz w:val="22"/>
          <w:highlight w:val="none"/>
          <w:u w:val="single"/>
        </w:rPr>
        <w:t>标的名称</w:t>
      </w:r>
      <w:r>
        <w:rPr>
          <w:rFonts w:ascii="宋体" w:hAnsi="宋体" w:cs="宋体"/>
          <w:b/>
          <w:bCs/>
          <w:color w:val="auto"/>
          <w:sz w:val="22"/>
          <w:highlight w:val="none"/>
          <w:u w:val="single"/>
        </w:rPr>
        <w:t>）</w:t>
      </w:r>
      <w:r>
        <w:rPr>
          <w:rFonts w:ascii="宋体" w:hAnsi="宋体" w:cs="宋体"/>
          <w:b/>
          <w:bCs/>
          <w:color w:val="auto"/>
          <w:sz w:val="22"/>
          <w:highlight w:val="none"/>
        </w:rPr>
        <w:t xml:space="preserve"> </w:t>
      </w:r>
      <w:r>
        <w:rPr>
          <w:rFonts w:ascii="宋体" w:hAnsi="宋体" w:cs="宋体"/>
          <w:color w:val="auto"/>
          <w:sz w:val="22"/>
          <w:highlight w:val="none"/>
        </w:rPr>
        <w:t>，属于</w:t>
      </w:r>
      <w:r>
        <w:rPr>
          <w:rFonts w:hint="eastAsia" w:ascii="宋体" w:hAnsi="宋体" w:cs="宋体"/>
          <w:b/>
          <w:bCs/>
          <w:color w:val="auto"/>
          <w:sz w:val="22"/>
          <w:highlight w:val="none"/>
          <w:u w:val="single"/>
        </w:rPr>
        <w:t>（</w:t>
      </w:r>
      <w:r>
        <w:rPr>
          <w:rFonts w:ascii="宋体" w:hAnsi="宋体" w:cs="宋体"/>
          <w:b/>
          <w:bCs/>
          <w:color w:val="auto"/>
          <w:sz w:val="22"/>
          <w:highlight w:val="none"/>
          <w:u w:val="single"/>
        </w:rPr>
        <w:t>采购文件中明确的所属行业</w:t>
      </w:r>
      <w:r>
        <w:rPr>
          <w:rFonts w:hint="eastAsia" w:ascii="宋体" w:hAnsi="宋体" w:cs="宋体"/>
          <w:b/>
          <w:bCs/>
          <w:color w:val="auto"/>
          <w:sz w:val="22"/>
          <w:highlight w:val="none"/>
          <w:u w:val="single"/>
        </w:rPr>
        <w:t>）</w:t>
      </w:r>
      <w:r>
        <w:rPr>
          <w:rFonts w:ascii="宋体" w:hAnsi="宋体" w:cs="宋体"/>
          <w:b/>
          <w:bCs/>
          <w:color w:val="auto"/>
          <w:sz w:val="22"/>
          <w:highlight w:val="none"/>
        </w:rPr>
        <w:t>；</w:t>
      </w:r>
      <w:r>
        <w:rPr>
          <w:rFonts w:ascii="宋体" w:hAnsi="宋体" w:cs="宋体"/>
          <w:color w:val="auto"/>
          <w:sz w:val="22"/>
          <w:highlight w:val="none"/>
        </w:rPr>
        <w:t xml:space="preserve">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1C4E7C47">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2.</w:t>
      </w:r>
      <w:r>
        <w:rPr>
          <w:rFonts w:ascii="宋体" w:hAnsi="宋体" w:cs="宋体"/>
          <w:color w:val="auto"/>
          <w:sz w:val="22"/>
          <w:highlight w:val="none"/>
          <w:u w:val="single"/>
        </w:rPr>
        <w:t xml:space="preserve"> （标的名称）</w:t>
      </w:r>
      <w:r>
        <w:rPr>
          <w:rFonts w:hint="eastAsia" w:ascii="宋体" w:hAnsi="宋体" w:cs="宋体"/>
          <w:color w:val="auto"/>
          <w:sz w:val="22"/>
          <w:highlight w:val="none"/>
          <w:u w:val="single"/>
        </w:rPr>
        <w:t xml:space="preserve">  </w:t>
      </w:r>
      <w:r>
        <w:rPr>
          <w:rFonts w:ascii="宋体" w:hAnsi="宋体" w:cs="宋体"/>
          <w:color w:val="auto"/>
          <w:sz w:val="22"/>
          <w:highlight w:val="none"/>
          <w:u w:val="single"/>
        </w:rPr>
        <w:t xml:space="preserve"> </w:t>
      </w:r>
      <w:r>
        <w:rPr>
          <w:rFonts w:ascii="宋体" w:hAnsi="宋体" w:cs="宋体"/>
          <w:color w:val="auto"/>
          <w:sz w:val="22"/>
          <w:highlight w:val="none"/>
        </w:rPr>
        <w:t>，属于</w:t>
      </w:r>
      <w:r>
        <w:rPr>
          <w:rFonts w:ascii="宋体" w:hAnsi="宋体" w:cs="宋体"/>
          <w:color w:val="auto"/>
          <w:sz w:val="22"/>
          <w:highlight w:val="none"/>
          <w:u w:val="single"/>
        </w:rPr>
        <w:t>（采购文件中明确的所属行业）</w:t>
      </w:r>
      <w:r>
        <w:rPr>
          <w:rFonts w:ascii="宋体" w:hAnsi="宋体" w:cs="宋体"/>
          <w:color w:val="auto"/>
          <w:sz w:val="22"/>
          <w:highlight w:val="none"/>
        </w:rPr>
        <w:t>；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 xml:space="preserve">人，营业收入为 </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299AAC42">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 以上企业，不属于大企业的分支机构，不存在控股股东 为大企业的情形，也不存在与大企业的负责人为同一人的情形。 本企业对上述声明内容的真实性负责。如有虚假，将依法承担相应责任。 </w:t>
      </w:r>
    </w:p>
    <w:p w14:paraId="61983FD4">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企业名称（盖章）： </w:t>
      </w:r>
    </w:p>
    <w:p w14:paraId="13FD52D1">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日 期：</w:t>
      </w:r>
    </w:p>
    <w:p w14:paraId="4B352123">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注：</w:t>
      </w:r>
      <w:r>
        <w:rPr>
          <w:rFonts w:ascii="宋体" w:hAnsi="宋体" w:cs="宋体"/>
          <w:color w:val="auto"/>
          <w:sz w:val="22"/>
          <w:highlight w:val="none"/>
        </w:rPr>
        <w:t xml:space="preserve"> 从业人员、营业收入、资产总额填报上一年度数据，无上一年度数据的新成立企业可不填报。</w:t>
      </w:r>
    </w:p>
    <w:p w14:paraId="56BBB806">
      <w:pPr>
        <w:pStyle w:val="10"/>
        <w:tabs>
          <w:tab w:val="left" w:pos="2352"/>
        </w:tabs>
        <w:rPr>
          <w:color w:val="auto"/>
          <w:highlight w:val="none"/>
        </w:rPr>
      </w:pPr>
    </w:p>
    <w:p w14:paraId="7F609FC0">
      <w:pPr>
        <w:tabs>
          <w:tab w:val="left" w:pos="2352"/>
        </w:tabs>
        <w:snapToGrid w:val="0"/>
        <w:spacing w:line="360" w:lineRule="auto"/>
        <w:jc w:val="left"/>
        <w:rPr>
          <w:b/>
          <w:color w:val="auto"/>
          <w:sz w:val="28"/>
          <w:szCs w:val="28"/>
          <w:highlight w:val="none"/>
        </w:rPr>
      </w:pPr>
    </w:p>
    <w:p w14:paraId="27C755C5">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附件2</w:t>
      </w:r>
    </w:p>
    <w:p w14:paraId="226F783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残疾人福利性单位声明函</w:t>
      </w:r>
    </w:p>
    <w:p w14:paraId="087F7F6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57664F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本单位对上述声明的真实性负责。如有虚假，将依法承担相应责任。</w:t>
      </w:r>
    </w:p>
    <w:p w14:paraId="21651210">
      <w:pPr>
        <w:tabs>
          <w:tab w:val="left" w:pos="2352"/>
        </w:tabs>
        <w:snapToGrid w:val="0"/>
        <w:spacing w:line="360" w:lineRule="auto"/>
        <w:ind w:firstLine="440" w:firstLineChars="200"/>
        <w:rPr>
          <w:color w:val="auto"/>
          <w:sz w:val="22"/>
          <w:highlight w:val="none"/>
        </w:rPr>
      </w:pPr>
    </w:p>
    <w:p w14:paraId="34D615D6">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单位名称（盖章）：</w:t>
      </w:r>
    </w:p>
    <w:p w14:paraId="30448537">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日  期：</w:t>
      </w:r>
    </w:p>
    <w:bookmarkEnd w:id="90"/>
    <w:p w14:paraId="577A4141">
      <w:pPr>
        <w:pStyle w:val="9"/>
        <w:tabs>
          <w:tab w:val="left" w:pos="1069"/>
          <w:tab w:val="left" w:pos="2352"/>
        </w:tabs>
        <w:spacing w:line="480" w:lineRule="exact"/>
        <w:rPr>
          <w:rFonts w:ascii="宋体" w:hAnsi="宋体" w:cs="宋体"/>
          <w:b/>
          <w:bCs/>
          <w:color w:val="auto"/>
          <w:sz w:val="26"/>
          <w:szCs w:val="26"/>
          <w:highlight w:val="none"/>
        </w:rPr>
      </w:pPr>
      <w:r>
        <w:rPr>
          <w:rFonts w:hint="eastAsia" w:ascii="宋体" w:hAnsi="宋体" w:cs="宋体"/>
          <w:b/>
          <w:bCs/>
          <w:color w:val="auto"/>
          <w:sz w:val="26"/>
          <w:szCs w:val="26"/>
          <w:highlight w:val="none"/>
        </w:rPr>
        <w:t>三、信贷政策</w:t>
      </w:r>
    </w:p>
    <w:p w14:paraId="7D44D101">
      <w:pPr>
        <w:tabs>
          <w:tab w:val="left" w:pos="1069"/>
          <w:tab w:val="left" w:pos="2352"/>
        </w:tabs>
        <w:snapToGrid w:val="0"/>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1、温州市财政局关于温州市政府采购支持中小企业信用融资的通知（温财采〔2020〕3号）</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gridCol w:w="4201"/>
        <w:gridCol w:w="1000"/>
        <w:gridCol w:w="1820"/>
      </w:tblGrid>
      <w:tr w14:paraId="6597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gridSpan w:val="4"/>
          </w:tcPr>
          <w:p w14:paraId="73B2176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温州市政府采购支持中小企业信用融资合作银行</w:t>
            </w:r>
          </w:p>
        </w:tc>
      </w:tr>
      <w:tr w14:paraId="55C9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373" w:type="dxa"/>
          </w:tcPr>
          <w:p w14:paraId="4F6E7021">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银行名称</w:t>
            </w:r>
          </w:p>
        </w:tc>
        <w:tc>
          <w:tcPr>
            <w:tcW w:w="4201" w:type="dxa"/>
          </w:tcPr>
          <w:p w14:paraId="7AC749D5">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产品特点（不超过120字）</w:t>
            </w:r>
          </w:p>
        </w:tc>
        <w:tc>
          <w:tcPr>
            <w:tcW w:w="1000" w:type="dxa"/>
          </w:tcPr>
          <w:p w14:paraId="0090F5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经办人</w:t>
            </w:r>
          </w:p>
        </w:tc>
        <w:tc>
          <w:tcPr>
            <w:tcW w:w="1820" w:type="dxa"/>
          </w:tcPr>
          <w:p w14:paraId="44579B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联系方式</w:t>
            </w:r>
          </w:p>
        </w:tc>
      </w:tr>
      <w:tr w14:paraId="0143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44C3AD1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4201" w:type="dxa"/>
          </w:tcPr>
          <w:p w14:paraId="564F6C2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00" w:type="dxa"/>
          </w:tcPr>
          <w:p w14:paraId="6D530CF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王经理</w:t>
            </w:r>
          </w:p>
        </w:tc>
        <w:tc>
          <w:tcPr>
            <w:tcW w:w="1820" w:type="dxa"/>
          </w:tcPr>
          <w:p w14:paraId="5BB2DEA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0577-88186626</w:t>
            </w:r>
          </w:p>
          <w:p w14:paraId="0413A0A1">
            <w:pPr>
              <w:tabs>
                <w:tab w:val="left" w:pos="1069"/>
                <w:tab w:val="left" w:pos="2352"/>
              </w:tabs>
              <w:jc w:val="left"/>
              <w:rPr>
                <w:rFonts w:ascii="宋体" w:hAnsi="宋体" w:cs="宋体"/>
                <w:color w:val="auto"/>
                <w:sz w:val="22"/>
                <w:highlight w:val="none"/>
              </w:rPr>
            </w:pPr>
          </w:p>
        </w:tc>
      </w:tr>
      <w:tr w14:paraId="3933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2373" w:type="dxa"/>
          </w:tcPr>
          <w:p w14:paraId="20C0D2F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4201" w:type="dxa"/>
          </w:tcPr>
          <w:p w14:paraId="195893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00" w:type="dxa"/>
          </w:tcPr>
          <w:p w14:paraId="01DD9A8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tc>
        <w:tc>
          <w:tcPr>
            <w:tcW w:w="1820" w:type="dxa"/>
          </w:tcPr>
          <w:p w14:paraId="7E4FBF0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0577-88093286</w:t>
            </w:r>
          </w:p>
        </w:tc>
      </w:tr>
      <w:tr w14:paraId="60DF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6ABF276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4201" w:type="dxa"/>
            <w:vAlign w:val="center"/>
          </w:tcPr>
          <w:p w14:paraId="0BEA9DB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00" w:type="dxa"/>
            <w:vAlign w:val="center"/>
          </w:tcPr>
          <w:p w14:paraId="65DFA3A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郑经理</w:t>
            </w:r>
          </w:p>
        </w:tc>
        <w:tc>
          <w:tcPr>
            <w:tcW w:w="1820" w:type="dxa"/>
            <w:vAlign w:val="center"/>
          </w:tcPr>
          <w:p w14:paraId="5176672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0577-88193910</w:t>
            </w:r>
          </w:p>
          <w:p w14:paraId="23ACE75C">
            <w:pPr>
              <w:tabs>
                <w:tab w:val="left" w:pos="1069"/>
                <w:tab w:val="left" w:pos="2352"/>
              </w:tabs>
              <w:jc w:val="left"/>
              <w:rPr>
                <w:rFonts w:ascii="宋体" w:hAnsi="宋体" w:cs="宋体"/>
                <w:color w:val="auto"/>
                <w:sz w:val="22"/>
                <w:highlight w:val="none"/>
              </w:rPr>
            </w:pPr>
          </w:p>
        </w:tc>
      </w:tr>
      <w:tr w14:paraId="4FC5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31FF50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4201" w:type="dxa"/>
          </w:tcPr>
          <w:p w14:paraId="0A8D7544">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00" w:type="dxa"/>
          </w:tcPr>
          <w:p w14:paraId="0CE42DA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项经理</w:t>
            </w:r>
          </w:p>
        </w:tc>
        <w:tc>
          <w:tcPr>
            <w:tcW w:w="1820" w:type="dxa"/>
          </w:tcPr>
          <w:p w14:paraId="0232A07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18057779630</w:t>
            </w:r>
          </w:p>
        </w:tc>
      </w:tr>
      <w:tr w14:paraId="3C5C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D48511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4201" w:type="dxa"/>
          </w:tcPr>
          <w:p w14:paraId="0FE1D6C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00" w:type="dxa"/>
          </w:tcPr>
          <w:p w14:paraId="52B8E293">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C2A014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0577－88007377</w:t>
            </w:r>
          </w:p>
          <w:p w14:paraId="4125D6C7">
            <w:pPr>
              <w:tabs>
                <w:tab w:val="left" w:pos="1069"/>
                <w:tab w:val="left" w:pos="2352"/>
              </w:tabs>
              <w:jc w:val="left"/>
              <w:rPr>
                <w:rFonts w:ascii="宋体" w:hAnsi="宋体" w:cs="宋体"/>
                <w:color w:val="auto"/>
                <w:sz w:val="22"/>
                <w:highlight w:val="none"/>
              </w:rPr>
            </w:pPr>
          </w:p>
        </w:tc>
      </w:tr>
      <w:tr w14:paraId="184F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2EA2244">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4201" w:type="dxa"/>
          </w:tcPr>
          <w:p w14:paraId="48D921AA">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门槛低：纯信用，平台注册入库并取得采购合同即可申请</w:t>
            </w:r>
          </w:p>
          <w:p w14:paraId="0B9B9EAF">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手续简：线上申请+线上签约，足不出户</w:t>
            </w:r>
          </w:p>
          <w:p w14:paraId="033BF5A1">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利率优：按优于一般中小企业贷款利率执行</w:t>
            </w:r>
          </w:p>
          <w:p w14:paraId="3C5958AE">
            <w:pPr>
              <w:tabs>
                <w:tab w:val="left" w:pos="1069"/>
                <w:tab w:val="left" w:pos="2352"/>
              </w:tabs>
              <w:rPr>
                <w:rFonts w:ascii="宋体" w:hAnsi="宋体" w:cs="宋体"/>
                <w:color w:val="auto"/>
                <w:sz w:val="22"/>
                <w:highlight w:val="none"/>
              </w:rPr>
            </w:pPr>
            <w:r>
              <w:rPr>
                <w:rFonts w:hint="eastAsia" w:ascii="宋体" w:hAnsi="宋体" w:cs="宋体"/>
                <w:bCs/>
                <w:color w:val="auto"/>
                <w:sz w:val="22"/>
                <w:highlight w:val="none"/>
              </w:rPr>
              <w:t>额度高：最高为合同金额的80%</w:t>
            </w:r>
          </w:p>
        </w:tc>
        <w:tc>
          <w:tcPr>
            <w:tcW w:w="1000" w:type="dxa"/>
          </w:tcPr>
          <w:p w14:paraId="0A2F5B4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241D1A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0577-88008933</w:t>
            </w:r>
          </w:p>
        </w:tc>
      </w:tr>
      <w:tr w14:paraId="1FA4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5915DC3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4201" w:type="dxa"/>
          </w:tcPr>
          <w:p w14:paraId="556D0071">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贷是招商银行针对政府采购招投标中标（成交）供应商，以政府采购合同项下未来应收账款为第一还款来源的融资业务，无需抵质押物。额度最高可达2000万，同时可开通自助贷款直通功能，自助贷款额度最高可达1000万，支持线上申请、随借随还。</w:t>
            </w:r>
          </w:p>
        </w:tc>
        <w:tc>
          <w:tcPr>
            <w:tcW w:w="1000" w:type="dxa"/>
          </w:tcPr>
          <w:p w14:paraId="7E5BF22F">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83007F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0577-88056876</w:t>
            </w:r>
          </w:p>
          <w:p w14:paraId="28E7E781">
            <w:pPr>
              <w:tabs>
                <w:tab w:val="left" w:pos="1069"/>
                <w:tab w:val="left" w:pos="2352"/>
              </w:tabs>
              <w:jc w:val="left"/>
              <w:rPr>
                <w:rFonts w:ascii="宋体" w:hAnsi="宋体" w:cs="宋体"/>
                <w:color w:val="auto"/>
                <w:sz w:val="22"/>
                <w:highlight w:val="none"/>
              </w:rPr>
            </w:pPr>
          </w:p>
        </w:tc>
      </w:tr>
      <w:tr w14:paraId="5C94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09D5D5D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4201" w:type="dxa"/>
            <w:vAlign w:val="center"/>
          </w:tcPr>
          <w:p w14:paraId="14486820">
            <w:pPr>
              <w:pStyle w:val="46"/>
              <w:tabs>
                <w:tab w:val="left" w:pos="1069"/>
                <w:tab w:val="left" w:pos="2352"/>
              </w:tabs>
              <w:spacing w:line="240" w:lineRule="auto"/>
              <w:ind w:firstLine="0" w:firstLineChars="0"/>
              <w:jc w:val="both"/>
              <w:rPr>
                <w:rFonts w:ascii="宋体" w:hAnsi="宋体" w:eastAsia="宋体" w:cs="宋体"/>
                <w:bCs/>
                <w:color w:val="auto"/>
                <w:kern w:val="0"/>
                <w:sz w:val="22"/>
                <w:highlight w:val="none"/>
              </w:rPr>
            </w:pPr>
            <w:r>
              <w:rPr>
                <w:rFonts w:hint="eastAsia" w:ascii="宋体" w:hAnsi="宋体" w:eastAsia="宋体" w:cs="宋体"/>
                <w:bCs/>
                <w:color w:val="auto"/>
                <w:kern w:val="0"/>
                <w:sz w:val="22"/>
                <w:highlight w:val="none"/>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00" w:type="dxa"/>
            <w:vAlign w:val="center"/>
          </w:tcPr>
          <w:p w14:paraId="6662936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p w14:paraId="1E25134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vAlign w:val="center"/>
          </w:tcPr>
          <w:p w14:paraId="6B53564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0577-88369368/13857713118</w:t>
            </w:r>
          </w:p>
          <w:p w14:paraId="4972226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0577-56969696-526506</w:t>
            </w:r>
          </w:p>
        </w:tc>
      </w:tr>
      <w:tr w14:paraId="191D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2D0C07C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4201" w:type="dxa"/>
          </w:tcPr>
          <w:p w14:paraId="743D5470">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00" w:type="dxa"/>
          </w:tcPr>
          <w:p w14:paraId="7DBC02D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5989F77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13736355866</w:t>
            </w:r>
          </w:p>
        </w:tc>
      </w:tr>
      <w:tr w14:paraId="1ECC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366558C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4201" w:type="dxa"/>
          </w:tcPr>
          <w:p w14:paraId="7F3B96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政采订单贷：1、面向政府采购项目供应商，满足供应商资金周转需求，凭中标通知书即可申请，2、秒知额高，最高可贷500万元，单笔业务金额可贷中标金额的80%，</w:t>
            </w:r>
          </w:p>
          <w:p w14:paraId="32D4B4A9">
            <w:pPr>
              <w:pStyle w:val="45"/>
              <w:tabs>
                <w:tab w:val="left" w:pos="1069"/>
                <w:tab w:val="left" w:pos="2352"/>
              </w:tabs>
              <w:ind w:left="5" w:firstLine="0" w:firstLineChars="0"/>
              <w:rPr>
                <w:rFonts w:ascii="宋体" w:hAnsi="宋体" w:cs="宋体"/>
                <w:color w:val="auto"/>
                <w:sz w:val="22"/>
                <w:highlight w:val="none"/>
              </w:rPr>
            </w:pPr>
            <w:r>
              <w:rPr>
                <w:rFonts w:hint="eastAsia" w:ascii="宋体" w:hAnsi="宋体" w:cs="宋体"/>
                <w:color w:val="auto"/>
                <w:sz w:val="22"/>
                <w:highlight w:val="none"/>
              </w:rPr>
              <w:t>最长期限可贷1年。信保贷：1、额度最高可达500万元</w:t>
            </w:r>
          </w:p>
          <w:p w14:paraId="3383BB8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2、担保灵活，信用贷款3、贷款年利率至少可享受本单位一般性中小企业信用贷款利率基础上下浮10 %</w:t>
            </w:r>
          </w:p>
        </w:tc>
        <w:tc>
          <w:tcPr>
            <w:tcW w:w="1000" w:type="dxa"/>
          </w:tcPr>
          <w:p w14:paraId="4BF10E7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戴经理</w:t>
            </w:r>
          </w:p>
        </w:tc>
        <w:tc>
          <w:tcPr>
            <w:tcW w:w="1820" w:type="dxa"/>
          </w:tcPr>
          <w:p w14:paraId="3BD04E9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13605772302</w:t>
            </w:r>
          </w:p>
        </w:tc>
      </w:tr>
      <w:tr w14:paraId="1AF9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167492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4201" w:type="dxa"/>
          </w:tcPr>
          <w:p w14:paraId="2C23FDB6">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00" w:type="dxa"/>
          </w:tcPr>
          <w:p w14:paraId="48C3A2E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缪经理</w:t>
            </w:r>
          </w:p>
        </w:tc>
        <w:tc>
          <w:tcPr>
            <w:tcW w:w="1820" w:type="dxa"/>
          </w:tcPr>
          <w:p w14:paraId="589D045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0577-88248454</w:t>
            </w:r>
          </w:p>
        </w:tc>
      </w:tr>
      <w:tr w14:paraId="537C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373" w:type="dxa"/>
          </w:tcPr>
          <w:p w14:paraId="74B11971">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4201" w:type="dxa"/>
          </w:tcPr>
          <w:p w14:paraId="5E6E3E5E">
            <w:pPr>
              <w:tabs>
                <w:tab w:val="left" w:pos="1069"/>
                <w:tab w:val="left" w:pos="2352"/>
              </w:tabs>
              <w:jc w:val="left"/>
              <w:rPr>
                <w:rFonts w:ascii="宋体" w:hAnsi="宋体" w:cs="宋体"/>
                <w:bCs/>
                <w:color w:val="auto"/>
                <w:sz w:val="22"/>
                <w:highlight w:val="none"/>
              </w:rPr>
            </w:pPr>
            <w:r>
              <w:rPr>
                <w:rFonts w:hint="eastAsia" w:ascii="宋体" w:hAnsi="宋体" w:cs="宋体"/>
                <w:bCs/>
                <w:color w:val="auto"/>
                <w:sz w:val="22"/>
                <w:highlight w:val="none"/>
              </w:rPr>
              <w:t>政采e贷：是浦发银行面向温州地区经营状况良好的小微企业政府采购项目供应商所提供的专属政府采购订单融资产品。产品特点：纯信用、免担保、门槛低、授信快、在线贷、秒放款</w:t>
            </w:r>
          </w:p>
          <w:p w14:paraId="07D869E6">
            <w:pPr>
              <w:shd w:val="clear" w:color="auto" w:fill="FFFFFF"/>
              <w:tabs>
                <w:tab w:val="left" w:pos="1069"/>
                <w:tab w:val="left" w:pos="2352"/>
              </w:tabs>
              <w:jc w:val="left"/>
              <w:rPr>
                <w:rFonts w:ascii="宋体" w:hAnsi="宋体" w:cs="宋体"/>
                <w:color w:val="auto"/>
                <w:sz w:val="22"/>
                <w:highlight w:val="none"/>
              </w:rPr>
            </w:pPr>
            <w:r>
              <w:rPr>
                <w:rFonts w:hint="eastAsia" w:ascii="宋体" w:hAnsi="宋体" w:cs="宋体"/>
                <w:bCs/>
                <w:color w:val="auto"/>
                <w:sz w:val="22"/>
                <w:highlight w:val="none"/>
              </w:rPr>
              <w:t>所需材料：企业基础证件、相关中标文件（中标通知书 、采购合同等）、其他必要文件</w:t>
            </w:r>
          </w:p>
        </w:tc>
        <w:tc>
          <w:tcPr>
            <w:tcW w:w="1000" w:type="dxa"/>
          </w:tcPr>
          <w:p w14:paraId="4B37DE2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7D8A74A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0577-55570829</w:t>
            </w:r>
          </w:p>
          <w:p w14:paraId="5645322A">
            <w:pPr>
              <w:tabs>
                <w:tab w:val="left" w:pos="1069"/>
                <w:tab w:val="left" w:pos="2352"/>
              </w:tabs>
              <w:jc w:val="left"/>
              <w:rPr>
                <w:rFonts w:ascii="宋体" w:hAnsi="宋体" w:cs="宋体"/>
                <w:color w:val="auto"/>
                <w:sz w:val="22"/>
                <w:highlight w:val="none"/>
              </w:rPr>
            </w:pPr>
          </w:p>
        </w:tc>
      </w:tr>
    </w:tbl>
    <w:p w14:paraId="05BC043D">
      <w:pPr>
        <w:tabs>
          <w:tab w:val="left" w:pos="1069"/>
          <w:tab w:val="left" w:pos="2352"/>
        </w:tabs>
        <w:snapToGrid w:val="0"/>
        <w:spacing w:line="460" w:lineRule="atLeast"/>
        <w:ind w:firstLine="440" w:firstLineChars="200"/>
        <w:jc w:val="left"/>
        <w:rPr>
          <w:rFonts w:ascii="宋体" w:hAnsi="宋体" w:cs="宋体"/>
          <w:color w:val="auto"/>
          <w:sz w:val="22"/>
          <w:highlight w:val="none"/>
        </w:rPr>
      </w:pPr>
    </w:p>
    <w:p w14:paraId="495CED34">
      <w:pPr>
        <w:tabs>
          <w:tab w:val="left" w:pos="1069"/>
          <w:tab w:val="left" w:pos="2352"/>
        </w:tabs>
        <w:jc w:val="center"/>
        <w:rPr>
          <w:rFonts w:ascii="宋体" w:hAnsi="宋体" w:cs="宋体"/>
          <w:color w:val="auto"/>
          <w:sz w:val="22"/>
          <w:highlight w:val="none"/>
        </w:rPr>
      </w:pPr>
      <w:r>
        <w:rPr>
          <w:rFonts w:hint="eastAsia" w:ascii="宋体" w:hAnsi="宋体" w:cs="宋体"/>
          <w:b/>
          <w:bCs/>
          <w:color w:val="auto"/>
          <w:sz w:val="28"/>
          <w:szCs w:val="28"/>
          <w:highlight w:val="none"/>
        </w:rPr>
        <w:t>温州市政府采购信用融资意向银行选择表</w:t>
      </w:r>
    </w:p>
    <w:p w14:paraId="666B45E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（温州市供应商填写）</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417"/>
        <w:gridCol w:w="851"/>
        <w:gridCol w:w="1559"/>
        <w:gridCol w:w="2126"/>
      </w:tblGrid>
      <w:tr w14:paraId="3AA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4614F9DA">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企业名称</w:t>
            </w:r>
          </w:p>
        </w:tc>
        <w:tc>
          <w:tcPr>
            <w:tcW w:w="8221" w:type="dxa"/>
            <w:gridSpan w:val="5"/>
          </w:tcPr>
          <w:p w14:paraId="61B64EF9">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7D2A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0690A2C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企业注册地</w:t>
            </w:r>
          </w:p>
        </w:tc>
        <w:tc>
          <w:tcPr>
            <w:tcW w:w="3685" w:type="dxa"/>
            <w:gridSpan w:val="2"/>
          </w:tcPr>
          <w:p w14:paraId="7854DA8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410" w:type="dxa"/>
            <w:gridSpan w:val="2"/>
          </w:tcPr>
          <w:p w14:paraId="0C083B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是否有融资意向</w:t>
            </w:r>
          </w:p>
        </w:tc>
        <w:tc>
          <w:tcPr>
            <w:tcW w:w="2126" w:type="dxa"/>
          </w:tcPr>
          <w:p w14:paraId="0FD1F06F">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4EF0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68" w:type="dxa"/>
          </w:tcPr>
          <w:p w14:paraId="42C318D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融资联系人</w:t>
            </w:r>
          </w:p>
        </w:tc>
        <w:tc>
          <w:tcPr>
            <w:tcW w:w="2268" w:type="dxa"/>
          </w:tcPr>
          <w:p w14:paraId="66F9065E">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268" w:type="dxa"/>
            <w:gridSpan w:val="2"/>
          </w:tcPr>
          <w:p w14:paraId="2D4F46FC">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联系方式</w:t>
            </w:r>
          </w:p>
        </w:tc>
        <w:tc>
          <w:tcPr>
            <w:tcW w:w="3685" w:type="dxa"/>
            <w:gridSpan w:val="2"/>
          </w:tcPr>
          <w:p w14:paraId="37C7907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0786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vAlign w:val="center"/>
          </w:tcPr>
          <w:p w14:paraId="7D3257D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温州市政府采购信用融资合作银行</w:t>
            </w:r>
          </w:p>
        </w:tc>
        <w:tc>
          <w:tcPr>
            <w:tcW w:w="3685" w:type="dxa"/>
            <w:gridSpan w:val="2"/>
          </w:tcPr>
          <w:p w14:paraId="7F562180">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选择作为意向融资银行（可多选）</w:t>
            </w:r>
          </w:p>
        </w:tc>
      </w:tr>
      <w:tr w14:paraId="2220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39E038D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3685" w:type="dxa"/>
            <w:gridSpan w:val="2"/>
          </w:tcPr>
          <w:p w14:paraId="1871D7FA">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9B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1B93C3F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3685" w:type="dxa"/>
            <w:gridSpan w:val="2"/>
          </w:tcPr>
          <w:p w14:paraId="1FA06D0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15F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438D40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3685" w:type="dxa"/>
            <w:gridSpan w:val="2"/>
          </w:tcPr>
          <w:p w14:paraId="51F87A6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5B70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204" w:type="dxa"/>
            <w:gridSpan w:val="4"/>
          </w:tcPr>
          <w:p w14:paraId="642CE07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3685" w:type="dxa"/>
            <w:gridSpan w:val="2"/>
          </w:tcPr>
          <w:p w14:paraId="0DA79318">
            <w:pPr>
              <w:tabs>
                <w:tab w:val="left" w:pos="1069"/>
                <w:tab w:val="left" w:pos="2352"/>
              </w:tabs>
              <w:rPr>
                <w:rFonts w:ascii="宋体" w:hAnsi="宋体" w:cs="宋体"/>
                <w:color w:val="auto"/>
                <w:sz w:val="22"/>
                <w:highlight w:val="none"/>
              </w:rPr>
            </w:pPr>
          </w:p>
        </w:tc>
      </w:tr>
      <w:tr w14:paraId="3F57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20FF02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3685" w:type="dxa"/>
            <w:gridSpan w:val="2"/>
          </w:tcPr>
          <w:p w14:paraId="2A35095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978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357B5F0">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3685" w:type="dxa"/>
            <w:gridSpan w:val="2"/>
          </w:tcPr>
          <w:p w14:paraId="385EE0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B06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655FA9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3685" w:type="dxa"/>
            <w:gridSpan w:val="2"/>
          </w:tcPr>
          <w:p w14:paraId="594AE92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04F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67990D7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3685" w:type="dxa"/>
            <w:gridSpan w:val="2"/>
          </w:tcPr>
          <w:p w14:paraId="5EF5B28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A7A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E78F85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3685" w:type="dxa"/>
            <w:gridSpan w:val="2"/>
          </w:tcPr>
          <w:p w14:paraId="5E9941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3D51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15DE5C9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3685" w:type="dxa"/>
            <w:gridSpan w:val="2"/>
          </w:tcPr>
          <w:p w14:paraId="4BFC265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22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0418BB3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3685" w:type="dxa"/>
            <w:gridSpan w:val="2"/>
          </w:tcPr>
          <w:p w14:paraId="5A850D83">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652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04" w:type="dxa"/>
            <w:gridSpan w:val="4"/>
          </w:tcPr>
          <w:p w14:paraId="721A82E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3685" w:type="dxa"/>
            <w:gridSpan w:val="2"/>
          </w:tcPr>
          <w:p w14:paraId="10F2F6D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bl>
    <w:p w14:paraId="29754A67">
      <w:pPr>
        <w:tabs>
          <w:tab w:val="left" w:pos="1069"/>
          <w:tab w:val="left" w:pos="2352"/>
        </w:tabs>
        <w:rPr>
          <w:rFonts w:ascii="宋体" w:hAnsi="宋体" w:cs="宋体"/>
          <w:color w:val="auto"/>
          <w:sz w:val="22"/>
          <w:highlight w:val="none"/>
        </w:rPr>
      </w:pPr>
    </w:p>
    <w:p w14:paraId="23243F7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注：1、本表填写对象为注册地在温州市域内的供应商。</w:t>
      </w:r>
    </w:p>
    <w:p w14:paraId="5EEBB7DE">
      <w:pPr>
        <w:tabs>
          <w:tab w:val="left" w:pos="1069"/>
          <w:tab w:val="left" w:pos="2352"/>
        </w:tabs>
        <w:spacing w:line="588"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2、财政部门根据企业自行选择，将本表及企业相关信息推送至相对应的融资意向银行经办人。</w:t>
      </w:r>
    </w:p>
    <w:p w14:paraId="3C9F91E1">
      <w:pPr>
        <w:pStyle w:val="10"/>
        <w:tabs>
          <w:tab w:val="left" w:pos="1069"/>
          <w:tab w:val="left" w:pos="2352"/>
        </w:tabs>
        <w:rPr>
          <w:rFonts w:ascii="宋体" w:hAnsi="宋体" w:cs="宋体"/>
          <w:b/>
          <w:color w:val="auto"/>
          <w:sz w:val="32"/>
          <w:szCs w:val="32"/>
          <w:highlight w:val="none"/>
        </w:rPr>
      </w:pPr>
    </w:p>
    <w:p w14:paraId="49B3E2D9">
      <w:pPr>
        <w:tabs>
          <w:tab w:val="left" w:pos="1069"/>
          <w:tab w:val="left" w:pos="2352"/>
        </w:tabs>
        <w:snapToGrid w:val="0"/>
        <w:spacing w:line="380" w:lineRule="exact"/>
        <w:jc w:val="center"/>
        <w:rPr>
          <w:rFonts w:ascii="宋体" w:hAnsi="宋体" w:cs="宋体"/>
          <w:b/>
          <w:color w:val="auto"/>
          <w:sz w:val="32"/>
          <w:szCs w:val="32"/>
          <w:highlight w:val="none"/>
        </w:rPr>
      </w:pPr>
    </w:p>
    <w:p w14:paraId="62B61806">
      <w:pPr>
        <w:tabs>
          <w:tab w:val="left" w:pos="1069"/>
          <w:tab w:val="left" w:pos="2352"/>
        </w:tabs>
        <w:snapToGrid w:val="0"/>
        <w:spacing w:line="380" w:lineRule="exact"/>
        <w:jc w:val="center"/>
        <w:rPr>
          <w:rFonts w:ascii="宋体" w:hAnsi="宋体" w:cs="宋体"/>
          <w:b/>
          <w:color w:val="auto"/>
          <w:sz w:val="32"/>
          <w:szCs w:val="32"/>
          <w:highlight w:val="none"/>
        </w:rPr>
      </w:pPr>
    </w:p>
    <w:p w14:paraId="05513A0B">
      <w:pPr>
        <w:tabs>
          <w:tab w:val="left" w:pos="1069"/>
          <w:tab w:val="left" w:pos="2352"/>
        </w:tabs>
        <w:snapToGrid w:val="0"/>
        <w:spacing w:line="380" w:lineRule="exact"/>
        <w:jc w:val="center"/>
        <w:rPr>
          <w:rFonts w:ascii="宋体" w:hAnsi="宋体" w:cs="宋体"/>
          <w:b/>
          <w:color w:val="auto"/>
          <w:sz w:val="32"/>
          <w:szCs w:val="32"/>
          <w:highlight w:val="none"/>
        </w:rPr>
      </w:pPr>
    </w:p>
    <w:p w14:paraId="40A4AF55">
      <w:pPr>
        <w:tabs>
          <w:tab w:val="left" w:pos="1069"/>
          <w:tab w:val="left" w:pos="2352"/>
        </w:tabs>
        <w:snapToGrid w:val="0"/>
        <w:spacing w:line="380" w:lineRule="exact"/>
        <w:jc w:val="center"/>
        <w:rPr>
          <w:rFonts w:ascii="宋体" w:hAnsi="宋体" w:cs="宋体"/>
          <w:b/>
          <w:color w:val="auto"/>
          <w:sz w:val="32"/>
          <w:szCs w:val="32"/>
          <w:highlight w:val="none"/>
        </w:rPr>
      </w:pPr>
    </w:p>
    <w:p w14:paraId="3F1D89AE">
      <w:pPr>
        <w:tabs>
          <w:tab w:val="left" w:pos="1069"/>
          <w:tab w:val="left" w:pos="2352"/>
        </w:tabs>
        <w:snapToGrid w:val="0"/>
        <w:spacing w:line="380" w:lineRule="exact"/>
        <w:jc w:val="center"/>
        <w:rPr>
          <w:rFonts w:ascii="宋体" w:hAnsi="宋体" w:cs="宋体"/>
          <w:b/>
          <w:color w:val="auto"/>
          <w:sz w:val="32"/>
          <w:szCs w:val="32"/>
          <w:highlight w:val="none"/>
        </w:rPr>
      </w:pPr>
    </w:p>
    <w:p w14:paraId="6152E30D">
      <w:pPr>
        <w:tabs>
          <w:tab w:val="left" w:pos="1069"/>
          <w:tab w:val="left" w:pos="2352"/>
        </w:tabs>
        <w:snapToGrid w:val="0"/>
        <w:spacing w:line="380" w:lineRule="exact"/>
        <w:jc w:val="center"/>
        <w:rPr>
          <w:rFonts w:ascii="宋体" w:hAnsi="宋体" w:cs="宋体"/>
          <w:b/>
          <w:bCs/>
          <w:color w:val="auto"/>
          <w:sz w:val="28"/>
          <w:szCs w:val="28"/>
          <w:highlight w:val="none"/>
        </w:rPr>
      </w:pPr>
      <w:r>
        <w:rPr>
          <w:rFonts w:hint="eastAsia" w:ascii="宋体" w:hAnsi="宋体" w:cs="宋体"/>
          <w:b/>
          <w:color w:val="auto"/>
          <w:sz w:val="32"/>
          <w:szCs w:val="32"/>
          <w:highlight w:val="none"/>
        </w:rPr>
        <w:t>第五部分、合同格式</w:t>
      </w:r>
      <w:bookmarkEnd w:id="88"/>
      <w:bookmarkStart w:id="91" w:name="_Toc11700_WPSOffice_Level1"/>
    </w:p>
    <w:p w14:paraId="612D7CD8">
      <w:pPr>
        <w:rPr>
          <w:rFonts w:eastAsia="仿宋"/>
          <w:b/>
          <w:bCs/>
          <w:color w:val="auto"/>
          <w:sz w:val="28"/>
          <w:highlight w:val="none"/>
        </w:rPr>
      </w:pPr>
    </w:p>
    <w:p w14:paraId="2A49A6AE">
      <w:pPr>
        <w:widowControl/>
        <w:spacing w:before="100" w:beforeAutospacing="1" w:after="100" w:afterAutospacing="1"/>
        <w:outlineLvl w:val="2"/>
        <w:rPr>
          <w:rFonts w:ascii="黑体" w:hAnsi="黑体" w:eastAsia="黑体" w:cs="宋体"/>
          <w:b/>
          <w:bCs/>
          <w:color w:val="auto"/>
          <w:kern w:val="0"/>
          <w:sz w:val="56"/>
          <w:szCs w:val="56"/>
          <w:highlight w:val="none"/>
        </w:rPr>
      </w:pPr>
      <w:r>
        <w:rPr>
          <w:rFonts w:hint="eastAsia" w:ascii="黑体" w:hAnsi="黑体" w:eastAsia="黑体" w:cs="宋体"/>
          <w:b/>
          <w:bCs/>
          <w:color w:val="auto"/>
          <w:kern w:val="0"/>
          <w:sz w:val="56"/>
          <w:szCs w:val="56"/>
          <w:highlight w:val="none"/>
        </w:rPr>
        <w:t xml:space="preserve">  </w:t>
      </w:r>
      <w:r>
        <w:rPr>
          <w:rFonts w:hint="eastAsia" w:cs="宋体" w:asciiTheme="minorEastAsia" w:hAnsiTheme="minorEastAsia"/>
          <w:bCs/>
          <w:color w:val="auto"/>
          <w:kern w:val="0"/>
          <w:sz w:val="56"/>
          <w:szCs w:val="56"/>
          <w:highlight w:val="none"/>
        </w:rPr>
        <w:t xml:space="preserve"> </w:t>
      </w:r>
    </w:p>
    <w:p w14:paraId="3680C5AD">
      <w:pPr>
        <w:widowControl/>
        <w:spacing w:before="100" w:beforeAutospacing="1" w:after="100" w:afterAutospacing="1"/>
        <w:jc w:val="center"/>
        <w:outlineLvl w:val="2"/>
        <w:rPr>
          <w:rFonts w:hint="eastAsia" w:ascii="华文中宋" w:hAnsi="华文中宋" w:eastAsia="华文中宋" w:cs="华文中宋"/>
          <w:b/>
          <w:bCs/>
          <w:color w:val="auto"/>
          <w:kern w:val="0"/>
          <w:sz w:val="56"/>
          <w:szCs w:val="56"/>
          <w:highlight w:val="none"/>
          <w:lang w:eastAsia="zh-CN"/>
        </w:rPr>
      </w:pPr>
      <w:r>
        <w:rPr>
          <w:rFonts w:hint="eastAsia" w:ascii="华文中宋" w:hAnsi="华文中宋" w:eastAsia="华文中宋" w:cs="华文中宋"/>
          <w:b/>
          <w:bCs/>
          <w:color w:val="auto"/>
          <w:kern w:val="0"/>
          <w:sz w:val="56"/>
          <w:szCs w:val="56"/>
          <w:highlight w:val="none"/>
          <w:lang w:eastAsia="zh-CN"/>
        </w:rPr>
        <w:t>2024年泰顺县司前畲族镇黄桥村晓燕自然村上燕农田宜机化改造项目</w:t>
      </w:r>
    </w:p>
    <w:p w14:paraId="1DF42663">
      <w:pPr>
        <w:widowControl/>
        <w:spacing w:before="100" w:beforeAutospacing="1" w:after="100" w:afterAutospacing="1"/>
        <w:jc w:val="center"/>
        <w:outlineLvl w:val="2"/>
        <w:rPr>
          <w:rFonts w:ascii="华文中宋" w:hAnsi="华文中宋" w:eastAsia="华文中宋" w:cs="华文中宋"/>
          <w:b/>
          <w:bCs/>
          <w:color w:val="auto"/>
          <w:kern w:val="0"/>
          <w:sz w:val="56"/>
          <w:szCs w:val="56"/>
          <w:highlight w:val="none"/>
        </w:rPr>
      </w:pPr>
      <w:r>
        <w:rPr>
          <w:rFonts w:hint="eastAsia" w:ascii="华文中宋" w:hAnsi="华文中宋" w:eastAsia="华文中宋" w:cs="华文中宋"/>
          <w:b/>
          <w:bCs/>
          <w:color w:val="auto"/>
          <w:kern w:val="0"/>
          <w:sz w:val="56"/>
          <w:szCs w:val="56"/>
          <w:highlight w:val="none"/>
        </w:rPr>
        <w:t>合同</w:t>
      </w:r>
    </w:p>
    <w:p w14:paraId="600B3500">
      <w:pPr>
        <w:widowControl/>
        <w:spacing w:before="100" w:beforeAutospacing="1" w:after="100" w:afterAutospacing="1"/>
        <w:jc w:val="center"/>
        <w:outlineLvl w:val="2"/>
        <w:rPr>
          <w:rFonts w:ascii="黑体" w:hAnsi="黑体" w:eastAsia="黑体" w:cs="宋体"/>
          <w:b/>
          <w:bCs/>
          <w:color w:val="auto"/>
          <w:kern w:val="0"/>
          <w:sz w:val="44"/>
          <w:szCs w:val="44"/>
          <w:highlight w:val="none"/>
        </w:rPr>
      </w:pPr>
    </w:p>
    <w:p w14:paraId="69291043">
      <w:pPr>
        <w:widowControl/>
        <w:spacing w:before="100" w:beforeAutospacing="1" w:after="100" w:afterAutospacing="1" w:line="390" w:lineRule="atLeast"/>
        <w:jc w:val="left"/>
        <w:rPr>
          <w:rFonts w:ascii="宋体" w:hAnsi="宋体" w:cs="宋体"/>
          <w:bCs/>
          <w:color w:val="auto"/>
          <w:sz w:val="30"/>
          <w:szCs w:val="30"/>
          <w:highlight w:val="none"/>
        </w:rPr>
      </w:pPr>
      <w:r>
        <w:rPr>
          <w:rFonts w:hint="eastAsia" w:ascii="宋体" w:hAnsi="宋体" w:cs="宋体"/>
          <w:color w:val="auto"/>
          <w:kern w:val="0"/>
          <w:sz w:val="28"/>
          <w:szCs w:val="28"/>
          <w:highlight w:val="none"/>
        </w:rPr>
        <w:t>　</w:t>
      </w:r>
      <w:r>
        <w:rPr>
          <w:rFonts w:hint="eastAsia" w:ascii="黑体" w:hAnsi="黑体" w:eastAsia="黑体" w:cs="宋体"/>
          <w:color w:val="auto"/>
          <w:kern w:val="0"/>
          <w:sz w:val="28"/>
          <w:szCs w:val="28"/>
          <w:highlight w:val="none"/>
        </w:rPr>
        <w:t>　</w:t>
      </w:r>
    </w:p>
    <w:p w14:paraId="22F63F5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签订日期：</w:t>
      </w:r>
      <w:r>
        <w:rPr>
          <w:rFonts w:hint="eastAsia" w:ascii="宋体" w:hAnsi="宋体" w:cs="宋体"/>
          <w:bCs/>
          <w:color w:val="auto"/>
          <w:sz w:val="30"/>
          <w:szCs w:val="30"/>
          <w:highlight w:val="none"/>
          <w:u w:val="single"/>
        </w:rPr>
        <w:t xml:space="preserve">        年 月 日  </w:t>
      </w:r>
    </w:p>
    <w:p w14:paraId="55B2BBF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签订地点：</w:t>
      </w:r>
      <w:r>
        <w:rPr>
          <w:rFonts w:hint="eastAsia" w:ascii="宋体" w:hAnsi="宋体" w:cs="宋体"/>
          <w:bCs/>
          <w:color w:val="auto"/>
          <w:sz w:val="30"/>
          <w:szCs w:val="30"/>
          <w:highlight w:val="none"/>
          <w:u w:val="single"/>
        </w:rPr>
        <w:t xml:space="preserve">    温州市泰顺县  </w:t>
      </w:r>
    </w:p>
    <w:p w14:paraId="3B689E43">
      <w:pPr>
        <w:pStyle w:val="6"/>
        <w:rPr>
          <w:color w:val="auto"/>
          <w:highlight w:val="none"/>
        </w:rPr>
      </w:pPr>
    </w:p>
    <w:p w14:paraId="007483EA">
      <w:pPr>
        <w:spacing w:line="460" w:lineRule="exact"/>
        <w:rPr>
          <w:rFonts w:ascii="宋体"/>
          <w:color w:val="auto"/>
          <w:sz w:val="22"/>
          <w:highlight w:val="none"/>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110FDF60">
      <w:pPr>
        <w:keepNext w:val="0"/>
        <w:keepLines w:val="0"/>
        <w:pageBreakBefore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bookmarkStart w:id="92" w:name="_Toc520988777"/>
      <w:bookmarkStart w:id="93" w:name="_Toc520967255"/>
      <w:bookmarkStart w:id="94" w:name="_Toc28013177"/>
      <w:bookmarkStart w:id="95" w:name="_Toc521917363"/>
      <w:bookmarkStart w:id="96" w:name="_Toc17290092"/>
      <w:bookmarkStart w:id="97" w:name="_Toc482363049"/>
      <w:bookmarkStart w:id="98" w:name="_Toc482718664"/>
      <w:bookmarkStart w:id="99" w:name="_Toc367900908"/>
      <w:bookmarkStart w:id="100" w:name="_Toc482362963"/>
      <w:r>
        <w:rPr>
          <w:rFonts w:hint="eastAsia" w:ascii="宋体" w:hAnsi="宋体" w:eastAsia="宋体" w:cs="宋体"/>
          <w:b/>
          <w:bCs/>
          <w:snapToGrid w:val="0"/>
          <w:color w:val="auto"/>
          <w:kern w:val="0"/>
          <w:sz w:val="32"/>
          <w:szCs w:val="32"/>
          <w:highlight w:val="none"/>
        </w:rPr>
        <w:t>第一节</w:t>
      </w:r>
      <w:bookmarkEnd w:id="92"/>
      <w:bookmarkEnd w:id="93"/>
      <w:r>
        <w:rPr>
          <w:rFonts w:hint="eastAsia" w:ascii="宋体" w:hAnsi="宋体" w:eastAsia="宋体" w:cs="宋体"/>
          <w:b/>
          <w:bCs/>
          <w:snapToGrid w:val="0"/>
          <w:color w:val="auto"/>
          <w:kern w:val="0"/>
          <w:sz w:val="32"/>
          <w:szCs w:val="32"/>
          <w:highlight w:val="none"/>
        </w:rPr>
        <w:t xml:space="preserve">  合同协议书</w:t>
      </w:r>
      <w:bookmarkEnd w:id="94"/>
      <w:bookmarkEnd w:id="95"/>
      <w:bookmarkEnd w:id="96"/>
    </w:p>
    <w:p w14:paraId="61E9B64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p>
    <w:p w14:paraId="317C4D8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none"/>
          <w:lang w:val="en-US" w:eastAsia="zh-CN"/>
        </w:rPr>
        <w:t>采购人：</w:t>
      </w:r>
      <w:r>
        <w:rPr>
          <w:rFonts w:hint="eastAsia" w:ascii="宋体" w:hAnsi="宋体" w:cs="宋体"/>
          <w:color w:val="auto"/>
          <w:sz w:val="22"/>
          <w:szCs w:val="22"/>
          <w:highlight w:val="none"/>
          <w:u w:val="single"/>
          <w:lang w:eastAsia="zh-CN"/>
        </w:rPr>
        <w:t>泰顺县司前畲族人民政府</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21B16C15">
      <w:pPr>
        <w:keepNext w:val="0"/>
        <w:keepLines w:val="0"/>
        <w:pageBreakBefore w:val="0"/>
        <w:widowControl/>
        <w:kinsoku/>
        <w:wordWrap/>
        <w:overflowPunct/>
        <w:topLinePunct w:val="0"/>
        <w:bidi w:val="0"/>
        <w:spacing w:line="400" w:lineRule="exact"/>
        <w:ind w:left="382" w:leftChars="182" w:firstLine="0" w:firstLineChars="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433B25A3">
      <w:pPr>
        <w:keepNext w:val="0"/>
        <w:keepLines w:val="0"/>
        <w:pageBreakBefore w:val="0"/>
        <w:widowControl/>
        <w:kinsoku/>
        <w:wordWrap/>
        <w:overflowPunct/>
        <w:topLinePunct w:val="0"/>
        <w:bidi w:val="0"/>
        <w:spacing w:line="400" w:lineRule="exact"/>
        <w:ind w:left="382" w:leftChars="182" w:firstLine="0" w:firstLineChars="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en-US" w:eastAsia="zh-CN"/>
        </w:rPr>
        <w:t>建设单位：</w:t>
      </w:r>
      <w:r>
        <w:rPr>
          <w:rFonts w:hint="eastAsia" w:ascii="宋体" w:hAnsi="宋体" w:eastAsia="宋体" w:cs="宋体"/>
          <w:color w:val="auto"/>
          <w:sz w:val="22"/>
          <w:szCs w:val="22"/>
          <w:highlight w:val="none"/>
          <w:u w:val="single"/>
          <w:lang w:val="en-US" w:eastAsia="zh-CN"/>
        </w:rPr>
        <w:t>泰顺县农业农村局</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br w:type="textWrapping"/>
      </w:r>
      <w:r>
        <w:rPr>
          <w:rFonts w:hint="eastAsia" w:ascii="宋体" w:hAnsi="宋体" w:eastAsia="宋体" w:cs="宋体"/>
          <w:color w:val="auto"/>
          <w:sz w:val="22"/>
          <w:szCs w:val="22"/>
          <w:highlight w:val="none"/>
        </w:rPr>
        <w:t>为实施</w:t>
      </w:r>
      <w:r>
        <w:rPr>
          <w:rFonts w:hint="eastAsia" w:ascii="宋体" w:hAnsi="宋体" w:cs="宋体"/>
          <w:color w:val="auto"/>
          <w:sz w:val="22"/>
          <w:szCs w:val="22"/>
          <w:highlight w:val="none"/>
          <w:u w:val="single"/>
          <w:lang w:eastAsia="zh-CN"/>
        </w:rPr>
        <w:t>2024年泰顺县司前畲族镇黄桥村晓燕自然村上燕农田宜机化改造项目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甲方、丙方</w:t>
      </w:r>
      <w:r>
        <w:rPr>
          <w:rFonts w:hint="eastAsia" w:ascii="宋体" w:hAnsi="宋体" w:eastAsia="宋体" w:cs="宋体"/>
          <w:color w:val="auto"/>
          <w:sz w:val="22"/>
          <w:szCs w:val="22"/>
          <w:highlight w:val="none"/>
        </w:rPr>
        <w:t>已接受</w:t>
      </w:r>
      <w:r>
        <w:rPr>
          <w:rFonts w:hint="eastAsia" w:ascii="宋体" w:hAnsi="宋体" w:eastAsia="宋体" w:cs="宋体"/>
          <w:color w:val="auto"/>
          <w:sz w:val="22"/>
          <w:szCs w:val="22"/>
          <w:highlight w:val="none"/>
          <w:u w:val="single"/>
        </w:rPr>
        <w:t xml:space="preserve">          </w:t>
      </w:r>
    </w:p>
    <w:p w14:paraId="1E427D5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名称）对该项目投标。</w:t>
      </w:r>
      <w:r>
        <w:rPr>
          <w:rFonts w:hint="eastAsia" w:ascii="宋体" w:hAnsi="宋体" w:eastAsia="宋体" w:cs="宋体"/>
          <w:color w:val="auto"/>
          <w:sz w:val="22"/>
          <w:szCs w:val="22"/>
          <w:highlight w:val="none"/>
          <w:lang w:val="en-US" w:eastAsia="zh-CN"/>
        </w:rPr>
        <w:t>三方</w:t>
      </w:r>
      <w:r>
        <w:rPr>
          <w:rFonts w:hint="eastAsia" w:ascii="宋体" w:hAnsi="宋体" w:eastAsia="宋体" w:cs="宋体"/>
          <w:color w:val="auto"/>
          <w:sz w:val="22"/>
          <w:szCs w:val="22"/>
          <w:highlight w:val="none"/>
        </w:rPr>
        <w:t>共同达成如下协议。</w:t>
      </w:r>
    </w:p>
    <w:p w14:paraId="528B368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lang w:eastAsia="zh-CN"/>
        </w:rPr>
      </w:pPr>
      <w:r>
        <w:rPr>
          <w:rFonts w:hint="eastAsia" w:ascii="宋体" w:hAnsi="宋体" w:eastAsia="宋体" w:cs="宋体"/>
          <w:color w:val="auto"/>
          <w:kern w:val="2"/>
          <w:sz w:val="22"/>
          <w:szCs w:val="22"/>
          <w:highlight w:val="none"/>
          <w:lang w:val="en-US" w:eastAsia="zh-CN"/>
        </w:rPr>
        <w:t>1.</w:t>
      </w:r>
      <w:r>
        <w:rPr>
          <w:rFonts w:hint="eastAsia" w:ascii="宋体" w:hAnsi="宋体" w:eastAsia="宋体" w:cs="宋体"/>
          <w:color w:val="auto"/>
          <w:kern w:val="2"/>
          <w:sz w:val="22"/>
          <w:szCs w:val="22"/>
          <w:highlight w:val="none"/>
        </w:rPr>
        <w:t>项目名称：</w:t>
      </w:r>
      <w:r>
        <w:rPr>
          <w:rFonts w:hint="eastAsia" w:ascii="宋体" w:hAnsi="宋体" w:cs="宋体"/>
          <w:color w:val="auto"/>
          <w:sz w:val="22"/>
          <w:szCs w:val="22"/>
          <w:highlight w:val="none"/>
          <w:u w:val="single"/>
          <w:lang w:eastAsia="zh-CN"/>
        </w:rPr>
        <w:t>2024年泰顺县司前畲族镇黄桥村晓燕自然村上燕农田宜机化改造项目</w:t>
      </w:r>
    </w:p>
    <w:p w14:paraId="254E95D1">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val="en-US" w:eastAsia="zh-CN"/>
        </w:rPr>
        <w:t>2.</w:t>
      </w:r>
      <w:r>
        <w:rPr>
          <w:rFonts w:hint="eastAsia" w:ascii="宋体" w:hAnsi="宋体" w:eastAsia="宋体" w:cs="宋体"/>
          <w:color w:val="auto"/>
          <w:kern w:val="2"/>
          <w:sz w:val="22"/>
          <w:szCs w:val="22"/>
          <w:highlight w:val="none"/>
        </w:rPr>
        <w:t>项目地点：</w:t>
      </w:r>
      <w:r>
        <w:rPr>
          <w:rFonts w:hint="eastAsia" w:ascii="宋体" w:hAnsi="宋体" w:eastAsia="宋体" w:cs="宋体"/>
          <w:color w:val="auto"/>
          <w:sz w:val="22"/>
          <w:szCs w:val="22"/>
          <w:highlight w:val="none"/>
          <w:u w:val="single"/>
        </w:rPr>
        <w:t>泰顺县</w:t>
      </w:r>
    </w:p>
    <w:p w14:paraId="3A0CD8DC">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3.</w:t>
      </w:r>
      <w:r>
        <w:rPr>
          <w:rFonts w:hint="eastAsia" w:ascii="宋体" w:hAnsi="宋体" w:eastAsia="宋体" w:cs="宋体"/>
          <w:color w:val="auto"/>
          <w:kern w:val="2"/>
          <w:sz w:val="22"/>
          <w:szCs w:val="22"/>
          <w:highlight w:val="none"/>
        </w:rPr>
        <w:t>项目服务范围：</w:t>
      </w:r>
      <w:r>
        <w:rPr>
          <w:rFonts w:hint="eastAsia" w:ascii="宋体" w:hAnsi="宋体" w:cs="宋体"/>
          <w:bCs/>
          <w:color w:val="auto"/>
          <w:kern w:val="0"/>
          <w:sz w:val="22"/>
          <w:szCs w:val="22"/>
          <w:highlight w:val="none"/>
          <w:u w:val="single"/>
          <w:lang w:val="en-US" w:eastAsia="zh-CN"/>
        </w:rPr>
        <w:t>泰顺县司前畲族镇黄桥村晓燕自然村上燕</w:t>
      </w:r>
      <w:r>
        <w:rPr>
          <w:rFonts w:hint="eastAsia" w:ascii="宋体" w:hAnsi="宋体" w:eastAsia="宋体" w:cs="宋体"/>
          <w:color w:val="auto"/>
          <w:kern w:val="2"/>
          <w:sz w:val="22"/>
          <w:szCs w:val="22"/>
          <w:highlight w:val="none"/>
          <w:u w:val="single"/>
          <w:lang w:eastAsia="zh-CN"/>
        </w:rPr>
        <w:t>，</w:t>
      </w:r>
      <w:r>
        <w:rPr>
          <w:rFonts w:hint="eastAsia" w:ascii="宋体" w:hAnsi="宋体" w:cs="宋体"/>
          <w:color w:val="auto"/>
          <w:kern w:val="2"/>
          <w:sz w:val="22"/>
          <w:szCs w:val="22"/>
          <w:highlight w:val="none"/>
          <w:u w:val="single"/>
          <w:lang w:eastAsia="zh-CN"/>
        </w:rPr>
        <w:t>设计面积约128亩。</w:t>
      </w:r>
    </w:p>
    <w:p w14:paraId="0543F270">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4.</w:t>
      </w:r>
      <w:r>
        <w:rPr>
          <w:rFonts w:hint="eastAsia" w:ascii="宋体" w:hAnsi="宋体" w:eastAsia="宋体" w:cs="宋体"/>
          <w:color w:val="auto"/>
          <w:kern w:val="2"/>
          <w:sz w:val="22"/>
          <w:szCs w:val="22"/>
          <w:highlight w:val="none"/>
        </w:rPr>
        <w:t>项目类型：</w:t>
      </w:r>
      <w:r>
        <w:rPr>
          <w:rFonts w:hint="eastAsia" w:ascii="宋体" w:hAnsi="宋体" w:cs="宋体"/>
          <w:color w:val="auto"/>
          <w:kern w:val="2"/>
          <w:sz w:val="22"/>
          <w:szCs w:val="22"/>
          <w:highlight w:val="none"/>
          <w:u w:val="single"/>
          <w:lang w:val="en-US" w:eastAsia="zh-CN"/>
        </w:rPr>
        <w:t>农田</w:t>
      </w:r>
      <w:r>
        <w:rPr>
          <w:rFonts w:hint="eastAsia" w:ascii="宋体" w:hAnsi="宋体" w:eastAsia="宋体" w:cs="宋体"/>
          <w:color w:val="auto"/>
          <w:kern w:val="2"/>
          <w:sz w:val="22"/>
          <w:szCs w:val="22"/>
          <w:highlight w:val="none"/>
          <w:u w:val="single"/>
          <w:lang w:eastAsia="zh-CN"/>
        </w:rPr>
        <w:t>。</w:t>
      </w:r>
    </w:p>
    <w:p w14:paraId="15BB3E6F">
      <w:pPr>
        <w:keepNext w:val="0"/>
        <w:keepLines w:val="0"/>
        <w:pageBreakBefore w:val="0"/>
        <w:widowControl/>
        <w:numPr>
          <w:ilvl w:val="0"/>
          <w:numId w:val="0"/>
        </w:numPr>
        <w:kinsoku/>
        <w:wordWrap/>
        <w:overflowPunct/>
        <w:topLinePunct w:val="0"/>
        <w:bidi w:val="0"/>
        <w:spacing w:line="400" w:lineRule="exact"/>
        <w:ind w:left="0" w:firstLine="440" w:firstLineChars="200"/>
        <w:textAlignment w:val="auto"/>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项目</w:t>
      </w:r>
      <w:r>
        <w:rPr>
          <w:rFonts w:hint="eastAsia" w:ascii="宋体" w:hAnsi="宋体" w:eastAsia="宋体" w:cs="宋体"/>
          <w:color w:val="auto"/>
          <w:kern w:val="2"/>
          <w:sz w:val="22"/>
          <w:szCs w:val="22"/>
          <w:highlight w:val="none"/>
          <w:lang w:eastAsia="zh-CN"/>
        </w:rPr>
        <w:t>实施</w:t>
      </w:r>
      <w:r>
        <w:rPr>
          <w:rFonts w:hint="eastAsia" w:ascii="宋体" w:hAnsi="宋体" w:eastAsia="宋体" w:cs="宋体"/>
          <w:color w:val="auto"/>
          <w:kern w:val="2"/>
          <w:sz w:val="22"/>
          <w:szCs w:val="22"/>
          <w:highlight w:val="none"/>
        </w:rPr>
        <w:t>方式：</w:t>
      </w:r>
      <w:r>
        <w:rPr>
          <w:rFonts w:hint="eastAsia" w:ascii="宋体" w:hAnsi="宋体" w:eastAsia="宋体" w:cs="宋体"/>
          <w:bCs/>
          <w:color w:val="auto"/>
          <w:kern w:val="0"/>
          <w:sz w:val="22"/>
          <w:szCs w:val="22"/>
          <w:highlight w:val="none"/>
          <w:u w:val="single"/>
          <w:lang w:val="en-US" w:eastAsia="zh-CN"/>
        </w:rPr>
        <w:t>农村土地</w:t>
      </w:r>
      <w:r>
        <w:rPr>
          <w:rFonts w:hint="eastAsia" w:hAnsi="宋体" w:cs="宋体"/>
          <w:bCs/>
          <w:color w:val="auto"/>
          <w:kern w:val="0"/>
          <w:sz w:val="22"/>
          <w:szCs w:val="22"/>
          <w:highlight w:val="none"/>
          <w:u w:val="single"/>
          <w:lang w:val="en-US" w:eastAsia="zh-CN"/>
        </w:rPr>
        <w:t>宜机化改造</w:t>
      </w:r>
      <w:r>
        <w:rPr>
          <w:rFonts w:hint="eastAsia" w:ascii="宋体" w:hAnsi="宋体" w:eastAsia="宋体" w:cs="宋体"/>
          <w:bCs/>
          <w:color w:val="auto"/>
          <w:kern w:val="0"/>
          <w:sz w:val="22"/>
          <w:szCs w:val="22"/>
          <w:highlight w:val="none"/>
          <w:u w:val="single"/>
          <w:lang w:val="en-US" w:eastAsia="zh-CN"/>
        </w:rPr>
        <w:t>及项目运营</w:t>
      </w:r>
      <w:r>
        <w:rPr>
          <w:rFonts w:hint="eastAsia" w:ascii="宋体" w:hAnsi="宋体" w:eastAsia="宋体" w:cs="宋体"/>
          <w:color w:val="auto"/>
          <w:kern w:val="2"/>
          <w:sz w:val="22"/>
          <w:szCs w:val="22"/>
          <w:highlight w:val="none"/>
          <w:u w:val="single"/>
        </w:rPr>
        <w:t>。</w:t>
      </w:r>
    </w:p>
    <w:p w14:paraId="5A2E3D7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具体内容为：</w:t>
      </w:r>
    </w:p>
    <w:p w14:paraId="2AA98F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：包含农田土地平整、灌溉与排水、田间道路、农田防护与生态环境保持等全部费用，详见工程量清单，</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按实际数量结算费用。供应商应注意考虑报价风险。实施期须在10个月内完成改造，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质保期为自工程部分验收合格之日起至少1年。</w:t>
      </w:r>
    </w:p>
    <w:p w14:paraId="14A4E20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自过渡期满后开始计算，若上级政策及主管部门另有要求的，以其规定为准，乙方须无条件接受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7BCF535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w:t>
      </w:r>
      <w:r>
        <w:rPr>
          <w:rFonts w:hint="eastAsia" w:hAnsi="宋体" w:cs="宋体"/>
          <w:bCs/>
          <w:color w:val="auto"/>
          <w:kern w:val="0"/>
          <w:sz w:val="22"/>
          <w:szCs w:val="22"/>
          <w:highlight w:val="none"/>
          <w:lang w:val="en-US" w:eastAsia="zh-CN"/>
        </w:rPr>
        <w:t>甲方</w:t>
      </w:r>
      <w:r>
        <w:rPr>
          <w:rFonts w:hint="eastAsia" w:ascii="宋体" w:hAnsi="宋体" w:eastAsia="宋体" w:cs="宋体"/>
          <w:bCs/>
          <w:color w:val="auto"/>
          <w:kern w:val="0"/>
          <w:sz w:val="22"/>
          <w:szCs w:val="22"/>
          <w:highlight w:val="none"/>
          <w:lang w:val="en-US" w:eastAsia="zh-CN"/>
        </w:rPr>
        <w:t>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02CF1F5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6</w:t>
      </w:r>
      <w:r>
        <w:rPr>
          <w:rFonts w:hint="eastAsia" w:ascii="宋体" w:hAnsi="宋体" w:eastAsia="宋体" w:cs="宋体"/>
          <w:bCs/>
          <w:color w:val="auto"/>
          <w:kern w:val="0"/>
          <w:sz w:val="22"/>
          <w:szCs w:val="22"/>
          <w:highlight w:val="none"/>
          <w:u w:val="none"/>
          <w:lang w:val="en-US" w:eastAsia="zh-CN"/>
        </w:rPr>
        <w:t>.本项目通过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w:t>
      </w:r>
      <w:r>
        <w:rPr>
          <w:rFonts w:hint="eastAsia" w:hAnsi="宋体" w:cs="宋体"/>
          <w:bCs/>
          <w:color w:val="auto"/>
          <w:kern w:val="0"/>
          <w:sz w:val="22"/>
          <w:szCs w:val="22"/>
          <w:highlight w:val="none"/>
          <w:u w:val="none"/>
          <w:lang w:val="en-US" w:eastAsia="zh-CN"/>
        </w:rPr>
        <w:t>收益为</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元/亩/年，按实际亩数计算上缴费用，运营收益，一年一交，在每年</w:t>
      </w:r>
      <w:r>
        <w:rPr>
          <w:rFonts w:hint="eastAsia" w:hAnsi="宋体" w:cs="宋体"/>
          <w:bCs/>
          <w:color w:val="auto"/>
          <w:kern w:val="0"/>
          <w:sz w:val="22"/>
          <w:szCs w:val="22"/>
          <w:highlight w:val="none"/>
          <w:u w:val="none"/>
          <w:lang w:val="en-US" w:eastAsia="zh-CN"/>
        </w:rPr>
        <w:t>度开始时</w:t>
      </w:r>
      <w:r>
        <w:rPr>
          <w:rFonts w:hint="eastAsia" w:ascii="宋体" w:hAnsi="宋体" w:eastAsia="宋体" w:cs="宋体"/>
          <w:bCs/>
          <w:color w:val="auto"/>
          <w:kern w:val="0"/>
          <w:sz w:val="22"/>
          <w:szCs w:val="22"/>
          <w:highlight w:val="none"/>
          <w:u w:val="none"/>
          <w:lang w:val="en-US" w:eastAsia="zh-CN"/>
        </w:rPr>
        <w:t>统一交入县财政专户。同时中标单位须根据实际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亩数支付土地租金费用给村集体，本项目租金费用为</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414B9C9C">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r>
        <w:rPr>
          <w:rFonts w:hint="eastAsia" w:ascii="宋体" w:hAnsi="宋体" w:cs="宋体"/>
          <w:bCs/>
          <w:color w:val="auto"/>
          <w:kern w:val="0"/>
          <w:sz w:val="22"/>
          <w:szCs w:val="22"/>
          <w:highlight w:val="none"/>
          <w:u w:val="none"/>
          <w:lang w:val="en-US" w:eastAsia="zh-CN"/>
        </w:rPr>
        <w:t>7</w:t>
      </w:r>
      <w:r>
        <w:rPr>
          <w:rFonts w:hint="eastAsia" w:ascii="宋体" w:hAnsi="宋体" w:eastAsia="宋体" w:cs="宋体"/>
          <w:bCs/>
          <w:color w:val="auto"/>
          <w:kern w:val="0"/>
          <w:sz w:val="22"/>
          <w:szCs w:val="22"/>
          <w:highlight w:val="none"/>
          <w:u w:val="none"/>
          <w:lang w:val="en-US" w:eastAsia="zh-CN"/>
        </w:rPr>
        <w:t>.未经</w:t>
      </w:r>
      <w:r>
        <w:rPr>
          <w:rFonts w:hint="eastAsia" w:ascii="宋体"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书面同意，不得进行转包、分包。</w:t>
      </w:r>
    </w:p>
    <w:p w14:paraId="2B190E3D">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.下列文件应视为构成合同文件的组成部分：</w:t>
      </w:r>
    </w:p>
    <w:p w14:paraId="02B173F5">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1F3C8B7D">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7AD0056A">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432DB5C9">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28A5BDB7">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6B536B8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3DFB1AD7">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9</w:t>
      </w:r>
      <w:r>
        <w:rPr>
          <w:rFonts w:hint="eastAsia" w:ascii="宋体" w:hAnsi="宋体" w:eastAsia="宋体" w:cs="宋体"/>
          <w:color w:val="auto"/>
          <w:sz w:val="22"/>
          <w:szCs w:val="22"/>
          <w:highlight w:val="none"/>
        </w:rPr>
        <w:t>.上述文件互相补充和解释，如有不明确或不一致之处，以合同约定次序在先者为准。</w:t>
      </w:r>
    </w:p>
    <w:p w14:paraId="26B633FC">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.签约合同价：</w:t>
      </w:r>
    </w:p>
    <w:p w14:paraId="62DB1385">
      <w:pPr>
        <w:keepNext w:val="0"/>
        <w:keepLines w:val="0"/>
        <w:pageBreakBefore w:val="0"/>
        <w:kinsoku/>
        <w:wordWrap/>
        <w:overflowPunct/>
        <w:topLinePunct w:val="0"/>
        <w:bidi w:val="0"/>
        <w:snapToGrid w:val="0"/>
        <w:spacing w:line="400" w:lineRule="exact"/>
        <w:ind w:firstLine="389" w:firstLineChars="176"/>
        <w:textAlignment w:val="auto"/>
        <w:rPr>
          <w:rFonts w:hint="eastAsia" w:ascii="宋体" w:hAnsi="宋体" w:eastAsia="宋体" w:cs="宋体"/>
          <w:b/>
          <w:bCs/>
          <w:color w:val="auto"/>
          <w:kern w:val="2"/>
          <w:sz w:val="22"/>
          <w:szCs w:val="22"/>
          <w:highlight w:val="none"/>
          <w:u w:val="none"/>
          <w:lang w:eastAsia="zh-CN"/>
        </w:rPr>
      </w:pPr>
      <w:r>
        <w:rPr>
          <w:rFonts w:hint="eastAsia" w:ascii="宋体" w:hAnsi="宋体" w:eastAsia="宋体" w:cs="宋体"/>
          <w:b/>
          <w:bCs/>
          <w:color w:val="auto"/>
          <w:kern w:val="2"/>
          <w:sz w:val="22"/>
          <w:szCs w:val="22"/>
          <w:highlight w:val="none"/>
          <w:u w:val="none"/>
        </w:rPr>
        <w:t>本项目为</w:t>
      </w:r>
      <w:r>
        <w:rPr>
          <w:rFonts w:hint="eastAsia" w:ascii="宋体" w:hAnsi="宋体" w:eastAsia="宋体" w:cs="宋体"/>
          <w:b/>
          <w:bCs/>
          <w:color w:val="auto"/>
          <w:kern w:val="2"/>
          <w:sz w:val="22"/>
          <w:szCs w:val="22"/>
          <w:highlight w:val="none"/>
          <w:u w:val="single"/>
        </w:rPr>
        <w:t>固定</w:t>
      </w:r>
      <w:r>
        <w:rPr>
          <w:rFonts w:hint="eastAsia" w:ascii="宋体" w:hAnsi="宋体" w:eastAsia="宋体" w:cs="宋体"/>
          <w:b/>
          <w:bCs/>
          <w:color w:val="auto"/>
          <w:kern w:val="2"/>
          <w:sz w:val="22"/>
          <w:szCs w:val="22"/>
          <w:highlight w:val="none"/>
          <w:u w:val="single"/>
          <w:lang w:val="en-US" w:eastAsia="zh-CN"/>
        </w:rPr>
        <w:t>单价</w:t>
      </w:r>
      <w:r>
        <w:rPr>
          <w:rFonts w:hint="eastAsia" w:ascii="宋体" w:hAnsi="宋体" w:eastAsia="宋体" w:cs="宋体"/>
          <w:b/>
          <w:bCs/>
          <w:color w:val="auto"/>
          <w:kern w:val="2"/>
          <w:sz w:val="22"/>
          <w:szCs w:val="22"/>
          <w:highlight w:val="none"/>
          <w:u w:val="single"/>
        </w:rPr>
        <w:t>合同</w:t>
      </w:r>
      <w:r>
        <w:rPr>
          <w:rFonts w:hint="eastAsia" w:ascii="宋体" w:hAnsi="宋体" w:cs="宋体"/>
          <w:b/>
          <w:bCs/>
          <w:color w:val="auto"/>
          <w:kern w:val="2"/>
          <w:sz w:val="22"/>
          <w:szCs w:val="22"/>
          <w:highlight w:val="none"/>
          <w:u w:val="single"/>
          <w:lang w:eastAsia="zh-CN"/>
        </w:rPr>
        <w:t>，</w:t>
      </w:r>
      <w:r>
        <w:rPr>
          <w:rFonts w:hint="eastAsia" w:ascii="宋体" w:hAnsi="宋体" w:cs="宋体"/>
          <w:b/>
          <w:bCs/>
          <w:color w:val="auto"/>
          <w:kern w:val="2"/>
          <w:sz w:val="22"/>
          <w:szCs w:val="22"/>
          <w:highlight w:val="none"/>
          <w:u w:val="single"/>
          <w:lang w:val="en-US" w:eastAsia="zh-CN"/>
        </w:rPr>
        <w:t>参照中标下浮率计算中标单价</w:t>
      </w:r>
      <w:r>
        <w:rPr>
          <w:rFonts w:hint="eastAsia" w:ascii="宋体" w:hAnsi="宋体" w:eastAsia="宋体" w:cs="宋体"/>
          <w:b/>
          <w:bCs/>
          <w:color w:val="auto"/>
          <w:kern w:val="2"/>
          <w:sz w:val="22"/>
          <w:szCs w:val="22"/>
          <w:highlight w:val="none"/>
          <w:u w:val="none"/>
          <w:lang w:eastAsia="zh-CN"/>
        </w:rPr>
        <w:t>。</w:t>
      </w:r>
    </w:p>
    <w:p w14:paraId="7B2D5ED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10.1改造</w:t>
      </w:r>
      <w:r>
        <w:rPr>
          <w:rFonts w:hint="eastAsia" w:ascii="宋体" w:hAnsi="宋体" w:eastAsia="宋体" w:cs="宋体"/>
          <w:bCs/>
          <w:color w:val="auto"/>
          <w:kern w:val="0"/>
          <w:sz w:val="22"/>
          <w:szCs w:val="22"/>
          <w:highlight w:val="none"/>
          <w:u w:val="none"/>
          <w:lang w:val="en-US" w:eastAsia="zh-CN"/>
        </w:rPr>
        <w:t>实施部分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w:t>
      </w:r>
      <w:r>
        <w:rPr>
          <w:rFonts w:hint="eastAsia" w:hAnsi="宋体" w:cs="宋体"/>
          <w:bCs/>
          <w:color w:val="auto"/>
          <w:kern w:val="0"/>
          <w:sz w:val="22"/>
          <w:szCs w:val="22"/>
          <w:highlight w:val="none"/>
          <w:u w:val="none"/>
          <w:lang w:val="en-US" w:eastAsia="zh-CN"/>
        </w:rPr>
        <w:t>结算</w:t>
      </w:r>
      <w:r>
        <w:rPr>
          <w:rFonts w:hint="eastAsia" w:ascii="宋体" w:hAnsi="宋体" w:eastAsia="宋体" w:cs="宋体"/>
          <w:bCs/>
          <w:color w:val="auto"/>
          <w:kern w:val="0"/>
          <w:sz w:val="22"/>
          <w:szCs w:val="22"/>
          <w:highlight w:val="none"/>
          <w:u w:val="none"/>
          <w:lang w:val="en-US" w:eastAsia="zh-CN"/>
        </w:rPr>
        <w:t>。</w:t>
      </w:r>
    </w:p>
    <w:p w14:paraId="434BC5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以中标单价结算，包含实施工程量增加、变更等不可预见风险，不包含国家或部门法律、法规等政策变化造成的损失，但由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责任引起实施期延误的除外。</w:t>
      </w:r>
    </w:p>
    <w:p w14:paraId="3E9AAD4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验收后，其结算价=实际工程量*（1-</w:t>
      </w:r>
      <w:r>
        <w:rPr>
          <w:rFonts w:hint="eastAsia" w:hAnsi="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none"/>
          <w:lang w:val="en-US" w:eastAsia="zh-CN"/>
        </w:rPr>
        <w:t xml:space="preserve">   </w:t>
      </w:r>
      <w:r>
        <w:rPr>
          <w:rFonts w:hint="eastAsia" w:ascii="宋体" w:hAnsi="宋体" w:eastAsia="宋体" w:cs="宋体"/>
          <w:bCs/>
          <w:color w:val="auto"/>
          <w:kern w:val="0"/>
          <w:sz w:val="22"/>
          <w:szCs w:val="22"/>
          <w:highlight w:val="none"/>
          <w:u w:val="none"/>
          <w:lang w:val="en-US" w:eastAsia="zh-CN"/>
        </w:rPr>
        <w:t>）*单价，暂列金、预留金、暂估价等不下浮。</w:t>
      </w:r>
    </w:p>
    <w:p w14:paraId="794FE9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lang w:val="en-US" w:eastAsia="zh-CN"/>
        </w:rPr>
      </w:pPr>
      <w:r>
        <w:rPr>
          <w:rFonts w:hint="eastAsia" w:hAnsi="宋体" w:cs="宋体"/>
          <w:bCs/>
          <w:color w:val="auto"/>
          <w:kern w:val="0"/>
          <w:sz w:val="22"/>
          <w:szCs w:val="22"/>
          <w:highlight w:val="none"/>
          <w:u w:val="none"/>
          <w:lang w:val="en-US" w:eastAsia="zh-CN"/>
        </w:rPr>
        <w:t>10.2</w:t>
      </w:r>
      <w:r>
        <w:rPr>
          <w:rFonts w:hint="eastAsia" w:ascii="宋体" w:hAnsi="宋体" w:eastAsia="宋体" w:cs="宋体"/>
          <w:bCs/>
          <w:color w:val="auto"/>
          <w:kern w:val="0"/>
          <w:sz w:val="22"/>
          <w:szCs w:val="22"/>
          <w:highlight w:val="none"/>
          <w:u w:val="none"/>
          <w:lang w:val="en-US" w:eastAsia="zh-CN"/>
        </w:rPr>
        <w:t>项目运营收益部分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。每亩年收益价格</w:t>
      </w:r>
      <w:r>
        <w:rPr>
          <w:rFonts w:hint="eastAsia" w:ascii="宋体" w:hAnsi="宋体" w:eastAsia="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p>
    <w:p w14:paraId="56817F10">
      <w:pPr>
        <w:keepNext w:val="0"/>
        <w:keepLines w:val="0"/>
        <w:pageBreakBefore w:val="0"/>
        <w:widowControl/>
        <w:numPr>
          <w:ilvl w:val="-1"/>
          <w:numId w:val="0"/>
        </w:numPr>
        <w:kinsoku/>
        <w:wordWrap/>
        <w:overflowPunct/>
        <w:topLinePunct w:val="0"/>
        <w:bidi w:val="0"/>
        <w:snapToGrid w:val="0"/>
        <w:spacing w:line="400" w:lineRule="exact"/>
        <w:ind w:leftChars="0" w:firstLine="387" w:firstLineChars="176"/>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注：以上费用均包含税费。</w:t>
      </w:r>
    </w:p>
    <w:p w14:paraId="69002DE3">
      <w:pPr>
        <w:keepNext w:val="0"/>
        <w:keepLines w:val="0"/>
        <w:pageBreakBefore w:val="0"/>
        <w:widowControl/>
        <w:numPr>
          <w:ilvl w:val="0"/>
          <w:numId w:val="0"/>
        </w:numPr>
        <w:kinsoku/>
        <w:wordWrap/>
        <w:overflowPunct/>
        <w:topLinePunct w:val="0"/>
        <w:bidi w:val="0"/>
        <w:snapToGrid w:val="0"/>
        <w:spacing w:line="400" w:lineRule="exact"/>
        <w:ind w:left="420" w:leftChars="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val="0"/>
          <w:color w:val="auto"/>
          <w:kern w:val="2"/>
          <w:sz w:val="22"/>
          <w:szCs w:val="22"/>
          <w:highlight w:val="none"/>
          <w:lang w:val="en-US" w:eastAsia="zh-CN"/>
        </w:rPr>
        <w:t>11.</w:t>
      </w: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w:t>
      </w:r>
    </w:p>
    <w:p w14:paraId="59C6D2FA">
      <w:pPr>
        <w:keepNext w:val="0"/>
        <w:keepLines w:val="0"/>
        <w:pageBreakBefore w:val="0"/>
        <w:widowControl/>
        <w:numPr>
          <w:ilvl w:val="0"/>
          <w:numId w:val="0"/>
        </w:numPr>
        <w:kinsoku/>
        <w:wordWrap/>
        <w:overflowPunct/>
        <w:topLinePunct w:val="0"/>
        <w:bidi w:val="0"/>
        <w:snapToGrid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中，今后不得以任何理由追加或调整。</w:t>
      </w:r>
    </w:p>
    <w:p w14:paraId="0A5DF0DC">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运营部分</w:t>
      </w:r>
      <w:r>
        <w:rPr>
          <w:rFonts w:hint="eastAsia" w:ascii="宋体" w:hAnsi="宋体" w:eastAsia="宋体" w:cs="宋体"/>
          <w:color w:val="auto"/>
          <w:sz w:val="22"/>
          <w:szCs w:val="22"/>
          <w:highlight w:val="none"/>
        </w:rPr>
        <w:t>项目负责人：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6FB125A">
      <w:pPr>
        <w:keepNext w:val="0"/>
        <w:keepLines w:val="0"/>
        <w:pageBreakBefore w:val="0"/>
        <w:kinsoku/>
        <w:wordWrap/>
        <w:overflowPunct/>
        <w:topLinePunct w:val="0"/>
        <w:bidi w:val="0"/>
        <w:snapToGrid w:val="0"/>
        <w:spacing w:line="400" w:lineRule="exact"/>
        <w:ind w:firstLine="660" w:firstLineChars="3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宜机化改造部分</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负责人：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42B7C4A2">
      <w:pPr>
        <w:keepNext w:val="0"/>
        <w:keepLines w:val="0"/>
        <w:pageBreakBefore w:val="0"/>
        <w:kinsoku/>
        <w:wordWrap/>
        <w:overflowPunct/>
        <w:topLinePunct w:val="0"/>
        <w:bidi w:val="0"/>
        <w:spacing w:line="400" w:lineRule="exact"/>
        <w:ind w:firstLine="440" w:firstLineChars="200"/>
        <w:textAlignment w:val="auto"/>
        <w:outlineLvl w:val="0"/>
        <w:rPr>
          <w:rFonts w:hint="eastAsia" w:ascii="宋体" w:hAnsi="宋体" w:eastAsia="宋体" w:cs="宋体"/>
          <w:color w:val="auto"/>
          <w:sz w:val="22"/>
          <w:szCs w:val="22"/>
          <w:highlight w:val="none"/>
        </w:rPr>
      </w:pPr>
      <w:bookmarkStart w:id="101" w:name="_Toc22005"/>
      <w:r>
        <w:rPr>
          <w:rFonts w:hint="eastAsia" w:ascii="宋体" w:hAnsi="宋体" w:eastAsia="宋体" w:cs="宋体"/>
          <w:color w:val="auto"/>
          <w:sz w:val="22"/>
          <w:szCs w:val="22"/>
          <w:highlight w:val="none"/>
          <w:lang w:val="en-US" w:eastAsia="zh-CN"/>
        </w:rPr>
        <w:t>13</w:t>
      </w:r>
      <w:r>
        <w:rPr>
          <w:rFonts w:hint="eastAsia" w:ascii="宋体" w:hAnsi="宋体" w:eastAsia="宋体" w:cs="宋体"/>
          <w:color w:val="auto"/>
          <w:sz w:val="22"/>
          <w:szCs w:val="22"/>
          <w:highlight w:val="none"/>
        </w:rPr>
        <w:t>.</w:t>
      </w:r>
      <w:bookmarkEnd w:id="101"/>
      <w:r>
        <w:rPr>
          <w:rFonts w:hint="eastAsia" w:ascii="宋体" w:hAnsi="宋体" w:eastAsia="宋体" w:cs="宋体"/>
          <w:bCs/>
          <w:color w:val="auto"/>
          <w:kern w:val="0"/>
          <w:sz w:val="22"/>
          <w:szCs w:val="22"/>
          <w:highlight w:val="none"/>
          <w:u w:val="none"/>
          <w:lang w:val="en-US" w:eastAsia="zh-CN"/>
        </w:rPr>
        <w:t>项目验收</w:t>
      </w:r>
    </w:p>
    <w:p w14:paraId="0817F4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开展竣工验收相关材料编制整理等工作，做好项目报备入库工作。</w:t>
      </w:r>
    </w:p>
    <w:p w14:paraId="5D779E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根据县农业农村部门的统一要求，提交验收材料，县农业农村部门会同财政部门，组织相关部门专家组成员对项目的耕种情况，进行实地勘察验收。</w:t>
      </w:r>
    </w:p>
    <w:p w14:paraId="54499B99">
      <w:pPr>
        <w:keepNext w:val="0"/>
        <w:keepLines w:val="0"/>
        <w:pageBreakBefore w:val="0"/>
        <w:widowControl/>
        <w:numPr>
          <w:ilvl w:val="0"/>
          <w:numId w:val="0"/>
        </w:numPr>
        <w:kinsoku/>
        <w:wordWrap/>
        <w:overflowPunct/>
        <w:topLinePunct w:val="0"/>
        <w:bidi w:val="0"/>
        <w:snapToGrid w:val="0"/>
        <w:spacing w:line="400" w:lineRule="exact"/>
        <w:ind w:left="0" w:firstLine="387" w:firstLineChars="176"/>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cs="宋体"/>
          <w:bCs w:val="0"/>
          <w:color w:val="auto"/>
          <w:kern w:val="2"/>
          <w:sz w:val="22"/>
          <w:szCs w:val="22"/>
          <w:highlight w:val="none"/>
          <w:u w:val="none"/>
          <w:lang w:val="en-US" w:eastAsia="zh-CN"/>
        </w:rPr>
        <w:t>。</w:t>
      </w:r>
    </w:p>
    <w:p w14:paraId="2AF8B33F">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14</w:t>
      </w:r>
      <w:r>
        <w:rPr>
          <w:rFonts w:hint="eastAsia" w:ascii="宋体" w:hAnsi="宋体" w:eastAsia="宋体" w:cs="宋体"/>
          <w:color w:val="auto"/>
          <w:sz w:val="22"/>
          <w:szCs w:val="22"/>
          <w:highlight w:val="none"/>
        </w:rPr>
        <w:t>.本合同一式七份，</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各执</w:t>
      </w:r>
      <w:r>
        <w:rPr>
          <w:rFonts w:hint="eastAsia" w:ascii="宋体" w:hAnsi="宋体" w:eastAsia="宋体" w:cs="宋体"/>
          <w:color w:val="auto"/>
          <w:sz w:val="22"/>
          <w:szCs w:val="22"/>
          <w:highlight w:val="none"/>
          <w:lang w:val="en-US" w:eastAsia="zh-CN"/>
        </w:rPr>
        <w:t>二</w:t>
      </w:r>
      <w:r>
        <w:rPr>
          <w:rFonts w:hint="eastAsia" w:ascii="宋体" w:hAnsi="宋体" w:eastAsia="宋体" w:cs="宋体"/>
          <w:color w:val="auto"/>
          <w:sz w:val="22"/>
          <w:szCs w:val="22"/>
          <w:highlight w:val="none"/>
        </w:rPr>
        <w:t>份，具有同等效力，招标代理单位备案一份。</w:t>
      </w:r>
    </w:p>
    <w:p w14:paraId="67B8F712">
      <w:pPr>
        <w:keepNext w:val="0"/>
        <w:keepLines w:val="0"/>
        <w:pageBreakBefore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15</w:t>
      </w:r>
      <w:r>
        <w:rPr>
          <w:rFonts w:hint="eastAsia" w:ascii="宋体" w:hAnsi="宋体" w:eastAsia="宋体" w:cs="宋体"/>
          <w:color w:val="auto"/>
          <w:sz w:val="22"/>
          <w:szCs w:val="22"/>
          <w:highlight w:val="none"/>
        </w:rPr>
        <w:t>.根据项目实施及管理需要，本合同未尽事宜，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另行签订补充协议。补充协议是合同的组成部分。</w:t>
      </w:r>
    </w:p>
    <w:p w14:paraId="0307C7E0">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：（盖单位章）</w:t>
      </w:r>
    </w:p>
    <w:p w14:paraId="37735BFE">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59DE65DF">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0F8AA184">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p>
    <w:p w14:paraId="4B849EE6">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（联合体牵头人）：（盖单位章）</w:t>
      </w:r>
    </w:p>
    <w:p w14:paraId="4689C656">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2A8E88B8">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1B29747E">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lang w:val="en-US" w:eastAsia="zh-CN"/>
        </w:rPr>
        <w:t>如有</w:t>
      </w:r>
      <w:r>
        <w:rPr>
          <w:rFonts w:hint="eastAsia" w:ascii="宋体" w:hAnsi="宋体" w:eastAsia="宋体" w:cs="宋体"/>
          <w:b/>
          <w:bCs/>
          <w:color w:val="auto"/>
          <w:sz w:val="22"/>
          <w:szCs w:val="22"/>
          <w:highlight w:val="none"/>
          <w:lang w:eastAsia="zh-CN"/>
        </w:rPr>
        <w:t>）</w:t>
      </w:r>
      <w:r>
        <w:rPr>
          <w:rFonts w:hint="eastAsia" w:ascii="宋体" w:hAnsi="宋体" w:eastAsia="宋体" w:cs="宋体"/>
          <w:color w:val="auto"/>
          <w:sz w:val="22"/>
          <w:szCs w:val="22"/>
          <w:highlight w:val="none"/>
        </w:rPr>
        <w:t>：（盖单位章）</w:t>
      </w:r>
    </w:p>
    <w:p w14:paraId="034F29EA">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81FAC6F">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5AAB169E">
      <w:pPr>
        <w:pStyle w:val="38"/>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2"/>
          <w:szCs w:val="22"/>
          <w:highlight w:val="none"/>
          <w:lang w:val="en-US" w:eastAsia="zh-CN"/>
        </w:rPr>
      </w:pPr>
    </w:p>
    <w:p w14:paraId="232250C2">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：（盖单位章）</w:t>
      </w:r>
    </w:p>
    <w:p w14:paraId="30C3AC94">
      <w:pPr>
        <w:keepNext w:val="0"/>
        <w:keepLines w:val="0"/>
        <w:pageBreakBefore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6B8BD12">
      <w:pPr>
        <w:keepNext w:val="0"/>
        <w:keepLines w:val="0"/>
        <w:pageBreakBefore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3C45CD62">
      <w:pPr>
        <w:keepNext w:val="0"/>
        <w:keepLines w:val="0"/>
        <w:pageBreakBefore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659C6A80">
      <w:pPr>
        <w:keepNext w:val="0"/>
        <w:keepLines w:val="0"/>
        <w:pageBreakBefore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 xml:space="preserve">签订日期：     </w:t>
      </w:r>
      <w:r>
        <w:rPr>
          <w:rFonts w:hint="eastAsia" w:ascii="宋体" w:hAnsi="宋体" w:eastAsia="宋体" w:cs="宋体"/>
          <w:color w:val="auto"/>
          <w:sz w:val="22"/>
          <w:szCs w:val="22"/>
          <w:highlight w:val="none"/>
        </w:rPr>
        <w:t>年     月     日</w:t>
      </w:r>
    </w:p>
    <w:p w14:paraId="69A116A1">
      <w:pPr>
        <w:keepNext w:val="0"/>
        <w:keepLines w:val="0"/>
        <w:pageBreakBefore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Cs/>
          <w:snapToGrid w:val="0"/>
          <w:color w:val="auto"/>
          <w:kern w:val="0"/>
          <w:szCs w:val="24"/>
          <w:highlight w:val="none"/>
        </w:rPr>
        <w:br w:type="page"/>
      </w:r>
      <w:bookmarkStart w:id="102" w:name="_Toc17290093"/>
      <w:bookmarkStart w:id="103" w:name="_Toc520967257"/>
      <w:bookmarkStart w:id="104" w:name="_Toc28013178"/>
      <w:bookmarkStart w:id="105" w:name="_Toc520988778"/>
      <w:bookmarkStart w:id="106" w:name="_Toc521917364"/>
      <w:r>
        <w:rPr>
          <w:rFonts w:hint="eastAsia" w:ascii="宋体" w:hAnsi="宋体" w:eastAsia="宋体" w:cs="宋体"/>
          <w:b/>
          <w:bCs/>
          <w:snapToGrid w:val="0"/>
          <w:color w:val="auto"/>
          <w:kern w:val="0"/>
          <w:sz w:val="32"/>
          <w:szCs w:val="32"/>
          <w:highlight w:val="none"/>
        </w:rPr>
        <w:t>第二节 合同条款</w:t>
      </w:r>
      <w:bookmarkEnd w:id="97"/>
      <w:bookmarkEnd w:id="98"/>
      <w:bookmarkEnd w:id="99"/>
      <w:bookmarkEnd w:id="100"/>
      <w:bookmarkEnd w:id="102"/>
      <w:bookmarkEnd w:id="103"/>
      <w:bookmarkEnd w:id="104"/>
      <w:bookmarkEnd w:id="105"/>
      <w:bookmarkEnd w:id="106"/>
    </w:p>
    <w:p w14:paraId="03FCE387">
      <w:pPr>
        <w:keepNext w:val="0"/>
        <w:keepLines w:val="0"/>
        <w:pageBreakBefore w:val="0"/>
        <w:widowControl w:val="0"/>
        <w:numPr>
          <w:ilvl w:val="0"/>
          <w:numId w:val="7"/>
        </w:numPr>
        <w:tabs>
          <w:tab w:val="left" w:pos="672"/>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07" w:name="_Toc354478012"/>
      <w:bookmarkStart w:id="108" w:name="_Toc359839844"/>
      <w:bookmarkStart w:id="109" w:name="_Toc359838518"/>
      <w:bookmarkStart w:id="110" w:name="_Toc359839703"/>
      <w:bookmarkStart w:id="111" w:name="_Toc354494030"/>
      <w:bookmarkStart w:id="112" w:name="_Toc359839315"/>
      <w:bookmarkStart w:id="113" w:name="_Toc354478272"/>
      <w:r>
        <w:rPr>
          <w:rFonts w:hint="eastAsia" w:ascii="宋体" w:hAnsi="宋体" w:eastAsia="宋体" w:cs="宋体"/>
          <w:b/>
          <w:snapToGrid w:val="0"/>
          <w:color w:val="auto"/>
          <w:kern w:val="2"/>
          <w:sz w:val="22"/>
          <w:szCs w:val="22"/>
          <w:highlight w:val="none"/>
          <w:lang w:val="en-US" w:eastAsia="zh-CN" w:bidi="ar-SA"/>
        </w:rPr>
        <w:t>一般约定</w:t>
      </w:r>
    </w:p>
    <w:p w14:paraId="661C26E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1.1词语</w:t>
      </w:r>
      <w:r>
        <w:rPr>
          <w:rFonts w:hint="eastAsia" w:ascii="宋体" w:hAnsi="宋体" w:eastAsia="宋体" w:cs="宋体"/>
          <w:b/>
          <w:bCs/>
          <w:color w:val="auto"/>
          <w:kern w:val="2"/>
          <w:sz w:val="22"/>
          <w:szCs w:val="22"/>
          <w:highlight w:val="none"/>
          <w:lang w:val="en-US" w:eastAsia="zh-CN" w:bidi="ar-SA"/>
        </w:rPr>
        <w:t>定义</w:t>
      </w:r>
      <w:bookmarkEnd w:id="107"/>
      <w:bookmarkEnd w:id="108"/>
      <w:bookmarkEnd w:id="109"/>
      <w:bookmarkEnd w:id="110"/>
      <w:bookmarkEnd w:id="111"/>
      <w:bookmarkEnd w:id="112"/>
      <w:bookmarkEnd w:id="113"/>
    </w:p>
    <w:p w14:paraId="3CABDF7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在本合同中，下列名词或术语，除文中另有要求或说明外，应具有本条所赋予的定义：</w:t>
      </w:r>
    </w:p>
    <w:p w14:paraId="0C7B810D">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1.1.1合同</w:t>
      </w:r>
    </w:p>
    <w:p w14:paraId="2C20E3E8">
      <w:pPr>
        <w:keepNext w:val="0"/>
        <w:keepLines w:val="0"/>
        <w:pageBreakBefore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b/>
          <w:color w:val="auto"/>
          <w:spacing w:val="-4"/>
          <w:sz w:val="22"/>
          <w:szCs w:val="22"/>
          <w:highlight w:val="none"/>
        </w:rPr>
        <w:t>1.1.1.1</w:t>
      </w:r>
      <w:r>
        <w:rPr>
          <w:rFonts w:hint="eastAsia" w:ascii="宋体" w:hAnsi="宋体" w:eastAsia="宋体" w:cs="宋体"/>
          <w:color w:val="auto"/>
          <w:spacing w:val="-4"/>
          <w:sz w:val="22"/>
          <w:szCs w:val="22"/>
          <w:highlight w:val="none"/>
        </w:rPr>
        <w:t>本项目:</w:t>
      </w:r>
      <w:r>
        <w:rPr>
          <w:rFonts w:hint="eastAsia" w:ascii="宋体" w:hAnsi="宋体" w:eastAsia="宋体" w:cs="宋体"/>
          <w:color w:val="auto"/>
          <w:sz w:val="22"/>
          <w:szCs w:val="22"/>
          <w:highlight w:val="none"/>
        </w:rPr>
        <w:t>指</w:t>
      </w:r>
      <w:r>
        <w:rPr>
          <w:rFonts w:hint="eastAsia" w:ascii="宋体" w:hAnsi="宋体" w:cs="宋体"/>
          <w:color w:val="auto"/>
          <w:sz w:val="22"/>
          <w:szCs w:val="22"/>
          <w:highlight w:val="none"/>
          <w:lang w:eastAsia="zh-CN"/>
        </w:rPr>
        <w:t>2024年泰顺县司前畲族镇黄桥村晓燕自然村上燕农田宜机化改造项目</w:t>
      </w:r>
      <w:r>
        <w:rPr>
          <w:rFonts w:hint="eastAsia" w:ascii="宋体" w:hAnsi="宋体" w:eastAsia="宋体" w:cs="宋体"/>
          <w:color w:val="auto"/>
          <w:kern w:val="0"/>
          <w:sz w:val="22"/>
          <w:szCs w:val="22"/>
          <w:highlight w:val="none"/>
          <w:lang w:eastAsia="zh-CN"/>
        </w:rPr>
        <w:t>。</w:t>
      </w:r>
    </w:p>
    <w:p w14:paraId="44CA1805">
      <w:pPr>
        <w:keepNext w:val="0"/>
        <w:keepLines w:val="0"/>
        <w:pageBreakBefore w:val="0"/>
        <w:kinsoku/>
        <w:wordWrap/>
        <w:overflowPunct/>
        <w:topLinePunct w:val="0"/>
        <w:bidi w:val="0"/>
        <w:adjustRightInd w:val="0"/>
        <w:spacing w:line="400" w:lineRule="exact"/>
        <w:ind w:firstLine="426"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pacing w:val="-4"/>
          <w:sz w:val="22"/>
          <w:szCs w:val="22"/>
          <w:highlight w:val="none"/>
        </w:rPr>
        <w:t>1.1.1.2</w:t>
      </w:r>
      <w:r>
        <w:rPr>
          <w:rFonts w:hint="eastAsia" w:ascii="宋体" w:hAnsi="宋体" w:eastAsia="宋体" w:cs="宋体"/>
          <w:color w:val="auto"/>
          <w:sz w:val="22"/>
          <w:szCs w:val="22"/>
          <w:highlight w:val="none"/>
        </w:rPr>
        <w:t>合同文件（或称合同）：指合同协议书、</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、投标函、合同条款、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w:t>
      </w:r>
      <w:r>
        <w:rPr>
          <w:rFonts w:hint="eastAsia" w:ascii="宋体" w:hAnsi="宋体" w:eastAsia="宋体" w:cs="宋体"/>
          <w:color w:val="auto"/>
          <w:sz w:val="22"/>
          <w:szCs w:val="22"/>
          <w:highlight w:val="none"/>
          <w:lang w:val="en-US" w:eastAsia="zh-CN"/>
        </w:rPr>
        <w:t>开标一览表等</w:t>
      </w:r>
      <w:r>
        <w:rPr>
          <w:rFonts w:hint="eastAsia" w:ascii="宋体" w:hAnsi="宋体" w:eastAsia="宋体" w:cs="宋体"/>
          <w:color w:val="auto"/>
          <w:sz w:val="22"/>
          <w:szCs w:val="22"/>
          <w:highlight w:val="none"/>
        </w:rPr>
        <w:t>其他构成合同组成部分的文件。</w:t>
      </w:r>
    </w:p>
    <w:p w14:paraId="71A142A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1.1.1.3</w:t>
      </w:r>
      <w:r>
        <w:rPr>
          <w:rFonts w:hint="eastAsia" w:ascii="宋体" w:hAnsi="宋体" w:eastAsia="宋体" w:cs="宋体"/>
          <w:color w:val="auto"/>
          <w:sz w:val="22"/>
          <w:szCs w:val="22"/>
          <w:highlight w:val="none"/>
        </w:rPr>
        <w:t>合同协议书：指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规定的时间与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签订合同协议书。若为联合体成交的，联合体各方应当共同与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签订合同。除法律另有规定或合同另有约定外，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的法定代表人或其委托代理人在合同协议书上签字并盖单位章后，合同生效。</w:t>
      </w:r>
    </w:p>
    <w:p w14:paraId="45352CCD">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1.1.1.4</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成交的函件。</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随附的澄清、说明、补正事项纪要等，是</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的组成部分。</w:t>
      </w:r>
    </w:p>
    <w:p w14:paraId="773C5725">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要求：指构成合同文件组成部分的名为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要求的文件，包括招标项目的目的、范围、设计与其他技术标准和要求，以及合同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当事人约定对其所作的修改或补充。</w:t>
      </w:r>
    </w:p>
    <w:p w14:paraId="78B01636">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1.1.1.6</w:t>
      </w:r>
      <w:r>
        <w:rPr>
          <w:rFonts w:hint="eastAsia" w:ascii="宋体" w:hAnsi="宋体" w:eastAsia="宋体" w:cs="宋体"/>
          <w:color w:val="auto"/>
          <w:sz w:val="22"/>
          <w:szCs w:val="22"/>
          <w:highlight w:val="none"/>
        </w:rPr>
        <w:t>价格清单：指构成合同文件组成部分的由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按规定的格式和要求填写并标明价格的清单。</w:t>
      </w:r>
    </w:p>
    <w:p w14:paraId="6E2D2C4E">
      <w:pPr>
        <w:keepNext w:val="0"/>
        <w:keepLines w:val="0"/>
        <w:pageBreakBefore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1.1.1.7</w:t>
      </w:r>
      <w:r>
        <w:rPr>
          <w:rFonts w:hint="eastAsia" w:ascii="宋体" w:hAnsi="宋体" w:eastAsia="宋体" w:cs="宋体"/>
          <w:color w:val="auto"/>
          <w:sz w:val="22"/>
          <w:szCs w:val="22"/>
          <w:highlight w:val="none"/>
        </w:rPr>
        <w:t>其他合同文件：指经合同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当事人确认构成合同文件的其他文件。</w:t>
      </w:r>
    </w:p>
    <w:p w14:paraId="709713F2">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1.1.2合同当事人和人员</w:t>
      </w:r>
    </w:p>
    <w:p w14:paraId="73BEFBC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1.1.2.1</w:t>
      </w:r>
      <w:r>
        <w:rPr>
          <w:rFonts w:hint="eastAsia" w:ascii="宋体" w:hAnsi="宋体" w:eastAsia="宋体" w:cs="宋体"/>
          <w:color w:val="auto"/>
          <w:sz w:val="22"/>
          <w:szCs w:val="22"/>
          <w:highlight w:val="none"/>
        </w:rPr>
        <w:t>合同当事人：指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7EE58C65">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：是指出面与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签订合同的项目</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w:t>
      </w:r>
    </w:p>
    <w:p w14:paraId="466DFC2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b/>
          <w:color w:val="auto"/>
          <w:sz w:val="22"/>
          <w:szCs w:val="22"/>
          <w:highlight w:val="none"/>
        </w:rPr>
        <w:t>1.1.2.3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：是指与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签订项目合同的</w:t>
      </w:r>
      <w:r>
        <w:rPr>
          <w:rFonts w:hint="eastAsia" w:ascii="宋体" w:hAnsi="宋体" w:eastAsia="宋体" w:cs="宋体"/>
          <w:color w:val="auto"/>
          <w:sz w:val="22"/>
          <w:szCs w:val="22"/>
          <w:highlight w:val="none"/>
          <w:lang w:eastAsia="zh-CN"/>
        </w:rPr>
        <w:t>乙方。</w:t>
      </w:r>
    </w:p>
    <w:p w14:paraId="4A0EAD9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color w:val="auto"/>
          <w:sz w:val="22"/>
          <w:szCs w:val="22"/>
          <w:highlight w:val="none"/>
        </w:rPr>
        <w:t>1.1.2.4</w:t>
      </w:r>
      <w:r>
        <w:rPr>
          <w:rFonts w:hint="eastAsia" w:ascii="宋体" w:hAnsi="宋体" w:eastAsia="宋体" w:cs="宋体"/>
          <w:color w:val="auto"/>
          <w:sz w:val="22"/>
          <w:szCs w:val="22"/>
          <w:highlight w:val="none"/>
          <w:lang w:val="en-US" w:eastAsia="zh-CN"/>
        </w:rPr>
        <w:t>丙方：是指出面与甲方、乙方签订合同并按该合同进行支付价款的项目建设单位。</w:t>
      </w:r>
    </w:p>
    <w:p w14:paraId="283BB51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5</w:t>
      </w:r>
      <w:r>
        <w:rPr>
          <w:rFonts w:hint="eastAsia" w:ascii="宋体" w:hAnsi="宋体" w:eastAsia="宋体" w:cs="宋体"/>
          <w:color w:val="auto"/>
          <w:sz w:val="22"/>
          <w:szCs w:val="22"/>
          <w:highlight w:val="none"/>
        </w:rPr>
        <w:t>项目经理部：是指由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根据项目管理及</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要求按照采购文件、响应文件及有关法律规定而在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现场组建的机构。</w:t>
      </w:r>
    </w:p>
    <w:p w14:paraId="30DD85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项目负责人：指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指定代表</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履行义务，具体实施本项目的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、协调及管理的总负责人。</w:t>
      </w:r>
    </w:p>
    <w:p w14:paraId="38798CE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7</w:t>
      </w:r>
      <w:r>
        <w:rPr>
          <w:rFonts w:hint="eastAsia" w:ascii="宋体" w:hAnsi="宋体" w:eastAsia="宋体" w:cs="宋体"/>
          <w:color w:val="auto"/>
          <w:sz w:val="22"/>
          <w:szCs w:val="22"/>
          <w:highlight w:val="none"/>
        </w:rPr>
        <w:t>监理人：指受</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委托，依照法律、行政法规及有关的技术标准、设计文件和本项目合同，对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期和</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资金使用等方面，代表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实施监督的独立法人。</w:t>
      </w:r>
    </w:p>
    <w:p w14:paraId="03D0E40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8</w:t>
      </w:r>
      <w:r>
        <w:rPr>
          <w:rFonts w:hint="eastAsia" w:ascii="宋体" w:hAnsi="宋体" w:eastAsia="宋体" w:cs="宋体"/>
          <w:color w:val="auto"/>
          <w:sz w:val="22"/>
          <w:szCs w:val="22"/>
          <w:highlight w:val="none"/>
        </w:rPr>
        <w:t>总监理工程师：指由监理人委派对合同履行实施管理的全权负责人。</w:t>
      </w:r>
    </w:p>
    <w:p w14:paraId="6A77662B">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1.1.3项目和设备</w:t>
      </w:r>
    </w:p>
    <w:p w14:paraId="7F55829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val="en-US" w:eastAsia="zh-CN"/>
        </w:rPr>
        <w:t>甲方委托乙方实施及管理的项目</w:t>
      </w:r>
      <w:r>
        <w:rPr>
          <w:rFonts w:hint="eastAsia" w:ascii="宋体" w:hAnsi="宋体" w:eastAsia="宋体" w:cs="宋体"/>
          <w:color w:val="auto"/>
          <w:sz w:val="22"/>
          <w:szCs w:val="22"/>
          <w:highlight w:val="none"/>
        </w:rPr>
        <w:t>。</w:t>
      </w:r>
    </w:p>
    <w:p w14:paraId="451518A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2</w:t>
      </w:r>
      <w:r>
        <w:rPr>
          <w:rFonts w:hint="eastAsia" w:ascii="宋体" w:hAnsi="宋体" w:eastAsia="宋体" w:cs="宋体"/>
          <w:color w:val="auto"/>
          <w:sz w:val="22"/>
          <w:szCs w:val="22"/>
          <w:highlight w:val="none"/>
        </w:rPr>
        <w:t>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：指为完成合同约定的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所修建的各类临时性</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，不包括</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w:t>
      </w:r>
    </w:p>
    <w:p w14:paraId="5DDC65E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3</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设备：指为完成合同约定的各项工作所需的设备、器具和其他物品，不包括临时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和材料。</w:t>
      </w:r>
    </w:p>
    <w:p w14:paraId="7549605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4</w:t>
      </w:r>
      <w:r>
        <w:rPr>
          <w:rFonts w:hint="eastAsia" w:ascii="宋体" w:hAnsi="宋体" w:eastAsia="宋体" w:cs="宋体"/>
          <w:color w:val="auto"/>
          <w:sz w:val="22"/>
          <w:szCs w:val="22"/>
          <w:highlight w:val="none"/>
        </w:rPr>
        <w:t>临时设施：指为完成合同约定的各项工作所服务的临时性生产和生活设施。</w:t>
      </w:r>
    </w:p>
    <w:p w14:paraId="23AFD39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5</w:t>
      </w:r>
      <w:r>
        <w:rPr>
          <w:rFonts w:hint="eastAsia" w:ascii="宋体" w:hAnsi="宋体" w:eastAsia="宋体" w:cs="宋体"/>
          <w:b w:val="0"/>
          <w:color w:val="auto"/>
          <w:sz w:val="22"/>
          <w:szCs w:val="22"/>
          <w:highlight w:val="none"/>
          <w:lang w:val="en-US" w:eastAsia="zh-CN"/>
        </w:rPr>
        <w:t>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场地（或称现场）：指用于合同</w:t>
      </w:r>
      <w:r>
        <w:rPr>
          <w:rFonts w:hint="eastAsia" w:ascii="宋体" w:hAnsi="宋体" w:eastAsia="宋体" w:cs="宋体"/>
          <w:color w:val="auto"/>
          <w:sz w:val="22"/>
          <w:szCs w:val="22"/>
          <w:highlight w:val="none"/>
          <w:lang w:val="en-US" w:eastAsia="zh-CN"/>
        </w:rPr>
        <w:t>内容实施</w:t>
      </w:r>
      <w:r>
        <w:rPr>
          <w:rFonts w:hint="eastAsia" w:ascii="宋体" w:hAnsi="宋体" w:eastAsia="宋体" w:cs="宋体"/>
          <w:color w:val="auto"/>
          <w:sz w:val="22"/>
          <w:szCs w:val="22"/>
          <w:highlight w:val="none"/>
        </w:rPr>
        <w:t>的场所，以及在合同中指定作为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场地组成部分的其他场所。</w:t>
      </w:r>
    </w:p>
    <w:p w14:paraId="5BB68C6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1.1.4日期、检验和完工</w:t>
      </w:r>
    </w:p>
    <w:p w14:paraId="0E3AD6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1.1.4.1</w:t>
      </w:r>
      <w:r>
        <w:rPr>
          <w:rFonts w:hint="eastAsia" w:ascii="宋体" w:hAnsi="宋体" w:eastAsia="宋体" w:cs="宋体"/>
          <w:color w:val="auto"/>
          <w:sz w:val="22"/>
          <w:szCs w:val="22"/>
          <w:highlight w:val="none"/>
        </w:rPr>
        <w:t>开始工作通知：指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开始工作的函件。</w:t>
      </w:r>
    </w:p>
    <w:p w14:paraId="5FD5F87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1.1.4.2</w:t>
      </w:r>
      <w:r>
        <w:rPr>
          <w:rFonts w:hint="eastAsia" w:ascii="宋体" w:hAnsi="宋体" w:eastAsia="宋体" w:cs="宋体"/>
          <w:color w:val="auto"/>
          <w:sz w:val="22"/>
          <w:szCs w:val="22"/>
          <w:highlight w:val="none"/>
        </w:rPr>
        <w:t>开始工作日期：指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发出的开始工作通知中写明的开始工作日期。</w:t>
      </w:r>
    </w:p>
    <w:p w14:paraId="1F15250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1.1.4.3</w:t>
      </w:r>
      <w:r>
        <w:rPr>
          <w:rFonts w:hint="eastAsia" w:ascii="宋体" w:hAnsi="宋体" w:eastAsia="宋体" w:cs="宋体"/>
          <w:color w:val="auto"/>
          <w:sz w:val="22"/>
          <w:szCs w:val="22"/>
          <w:highlight w:val="none"/>
        </w:rPr>
        <w:t>合同期：指本合同签署生效之日始至本合同规定的各项权利、义务行使及履行完毕的期限。</w:t>
      </w:r>
    </w:p>
    <w:p w14:paraId="13F650A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1.1.4.4</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w:t>
      </w: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正式运营服务期：三年（</w:t>
      </w:r>
      <w:r>
        <w:rPr>
          <w:rFonts w:hint="eastAsia" w:ascii="宋体" w:hAnsi="宋体" w:cs="宋体"/>
          <w:color w:val="auto"/>
          <w:sz w:val="22"/>
          <w:szCs w:val="22"/>
          <w:highlight w:val="none"/>
          <w:lang w:val="en-US" w:eastAsia="zh-CN"/>
        </w:rPr>
        <w:t>自过渡期满后开始计算，若上级政策及主管部门另有要求的，以其规定为准，乙方须无条件接受</w:t>
      </w:r>
      <w:r>
        <w:rPr>
          <w:rFonts w:hint="eastAsia" w:ascii="宋体" w:hAnsi="宋体" w:eastAsia="宋体" w:cs="宋体"/>
          <w:color w:val="auto"/>
          <w:sz w:val="22"/>
          <w:szCs w:val="22"/>
          <w:highlight w:val="none"/>
          <w:lang w:val="en-US" w:eastAsia="zh-CN"/>
        </w:rPr>
        <w:t>），运营期满后以上级政策及主管部门为准。</w:t>
      </w:r>
    </w:p>
    <w:p w14:paraId="239FCB6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1.1.4.5完工日期：指完成项目立项文件规定的</w:t>
      </w: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rPr>
        <w:t>内容，并通过验收之日</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进入运营期，运营期满后结束</w:t>
      </w:r>
      <w:r>
        <w:rPr>
          <w:rFonts w:hint="eastAsia" w:ascii="宋体" w:hAnsi="宋体" w:eastAsia="宋体" w:cs="宋体"/>
          <w:color w:val="auto"/>
          <w:sz w:val="22"/>
          <w:szCs w:val="22"/>
          <w:highlight w:val="none"/>
        </w:rPr>
        <w:t>。</w:t>
      </w:r>
    </w:p>
    <w:p w14:paraId="0D29A83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1.1.4.6项目交付：系指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将通过完工验收并将已完成</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3961E18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1.1.4.7天：除特别指明外，指日历天。合同中按天计算时间的，开始当天不计入，从次日开始计算。期限最后一天的截止时间为当天24:00。</w:t>
      </w:r>
    </w:p>
    <w:p w14:paraId="4631BD1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1.1.4.8支付日：指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按合同约定时间向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支付应得款项的日期。若合同约定的支付日为非银行营业日，则应顺延至原约定支付日之后的第一个银行营业日。</w:t>
      </w:r>
    </w:p>
    <w:p w14:paraId="3674D79B">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1.1.5合同价格和费用</w:t>
      </w:r>
    </w:p>
    <w:p w14:paraId="403A3F0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1.1.5.1</w:t>
      </w:r>
      <w:r>
        <w:rPr>
          <w:rFonts w:hint="eastAsia" w:ascii="宋体" w:hAnsi="宋体" w:eastAsia="宋体" w:cs="宋体"/>
          <w:color w:val="auto"/>
          <w:sz w:val="22"/>
          <w:szCs w:val="22"/>
          <w:highlight w:val="none"/>
        </w:rPr>
        <w:t>签约合同价：指</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明确的并在签订合同时于合同协议书中写明的合同总金额。</w:t>
      </w:r>
    </w:p>
    <w:p w14:paraId="54B04A3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1.1.5.2</w:t>
      </w:r>
      <w:r>
        <w:rPr>
          <w:rFonts w:hint="eastAsia" w:ascii="宋体" w:hAnsi="宋体" w:eastAsia="宋体" w:cs="宋体"/>
          <w:color w:val="auto"/>
          <w:sz w:val="22"/>
          <w:szCs w:val="22"/>
          <w:highlight w:val="none"/>
        </w:rPr>
        <w:t>合同价格：指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按合同约定完成了包括缺陷责任期</w:t>
      </w:r>
      <w:r>
        <w:rPr>
          <w:rFonts w:hint="eastAsia" w:ascii="宋体" w:hAnsi="宋体" w:eastAsia="宋体" w:cs="宋体"/>
          <w:color w:val="auto"/>
          <w:sz w:val="22"/>
          <w:szCs w:val="22"/>
          <w:highlight w:val="none"/>
          <w:lang w:val="en-US" w:eastAsia="zh-CN"/>
        </w:rPr>
        <w:t>和</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w:t>
      </w:r>
      <w:r>
        <w:rPr>
          <w:rFonts w:hint="eastAsia" w:ascii="宋体" w:hAnsi="宋体" w:eastAsia="宋体" w:cs="宋体"/>
          <w:color w:val="auto"/>
          <w:sz w:val="22"/>
          <w:szCs w:val="22"/>
          <w:highlight w:val="none"/>
        </w:rPr>
        <w:t>内的全部承包工作后，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应付给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的金额，包括在履行合同过程中按合同约定进行的变更和调整。</w:t>
      </w:r>
    </w:p>
    <w:p w14:paraId="095E875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1.1.5.3</w:t>
      </w:r>
      <w:r>
        <w:rPr>
          <w:rFonts w:hint="eastAsia" w:ascii="宋体" w:hAnsi="宋体" w:eastAsia="宋体" w:cs="宋体"/>
          <w:color w:val="auto"/>
          <w:sz w:val="22"/>
          <w:szCs w:val="22"/>
          <w:highlight w:val="none"/>
        </w:rPr>
        <w:t>费用：指为履行合同所发生的或将要发生的所有合理开支，包括管理费和应分摊的其他费用，但不包括利润。</w:t>
      </w:r>
    </w:p>
    <w:p w14:paraId="08CE65B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1.1.5.4</w:t>
      </w:r>
      <w:r>
        <w:rPr>
          <w:rFonts w:hint="eastAsia" w:ascii="宋体" w:hAnsi="宋体" w:eastAsia="宋体" w:cs="宋体"/>
          <w:color w:val="auto"/>
          <w:sz w:val="22"/>
          <w:szCs w:val="22"/>
          <w:highlight w:val="none"/>
        </w:rPr>
        <w:t>预留金（暂列金）：指采购文件中给定的，用于在签订协议书时尚未确定或不可预见变更的设计、</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及其所需材料、设备、服务等的金额</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本项目无预留金</w:t>
      </w:r>
      <w:r>
        <w:rPr>
          <w:rFonts w:hint="eastAsia" w:ascii="宋体" w:hAnsi="宋体" w:eastAsia="宋体" w:cs="宋体"/>
          <w:color w:val="auto"/>
          <w:sz w:val="22"/>
          <w:szCs w:val="22"/>
          <w:highlight w:val="none"/>
        </w:rPr>
        <w:t>。</w:t>
      </w:r>
    </w:p>
    <w:p w14:paraId="5A8E0E2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1.1.5.5</w:t>
      </w:r>
      <w:r>
        <w:rPr>
          <w:rFonts w:hint="eastAsia" w:ascii="宋体" w:hAnsi="宋体" w:eastAsia="宋体" w:cs="宋体"/>
          <w:color w:val="auto"/>
          <w:sz w:val="22"/>
          <w:szCs w:val="22"/>
          <w:highlight w:val="none"/>
        </w:rPr>
        <w:t>暂估价：指采购文件中给定的，用于支付必然发生但暂时不能确定价格的专业服务、材料、设备的金额</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本项目无</w:t>
      </w:r>
      <w:r>
        <w:rPr>
          <w:rFonts w:hint="eastAsia" w:ascii="宋体" w:hAnsi="宋体" w:eastAsia="宋体" w:cs="宋体"/>
          <w:color w:val="auto"/>
          <w:sz w:val="22"/>
          <w:szCs w:val="22"/>
          <w:highlight w:val="none"/>
        </w:rPr>
        <w:t>暂估价。</w:t>
      </w:r>
    </w:p>
    <w:p w14:paraId="32448852">
      <w:pPr>
        <w:keepNext w:val="0"/>
        <w:keepLines w:val="0"/>
        <w:pageBreakBefore w:val="0"/>
        <w:kinsoku/>
        <w:wordWrap/>
        <w:overflowPunct/>
        <w:topLinePunct w:val="0"/>
        <w:bidi w:val="0"/>
        <w:adjustRightInd w:val="0"/>
        <w:snapToGri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1.1.5.6</w:t>
      </w:r>
      <w:r>
        <w:rPr>
          <w:rFonts w:hint="eastAsia" w:ascii="宋体" w:hAnsi="宋体" w:eastAsia="宋体" w:cs="宋体"/>
          <w:color w:val="auto"/>
          <w:sz w:val="22"/>
          <w:szCs w:val="22"/>
          <w:highlight w:val="none"/>
        </w:rPr>
        <w:t>计息利率：指按中国人民银行公布的一年（含）年期贷款基准利率为基础设置的利率。如果中国人民银行贷款基准利率调整，则项目服务期间的计息利率同步调整，即人民银行贷款基准利率的调整日即为本项目计息利率的调整日。</w:t>
      </w:r>
    </w:p>
    <w:p w14:paraId="3999FF31">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1.1.6其他</w:t>
      </w:r>
    </w:p>
    <w:p w14:paraId="6EF34DD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1.1.6.1</w:t>
      </w:r>
      <w:r>
        <w:rPr>
          <w:rFonts w:hint="eastAsia" w:ascii="宋体" w:hAnsi="宋体" w:eastAsia="宋体" w:cs="宋体"/>
          <w:color w:val="auto"/>
          <w:sz w:val="22"/>
          <w:szCs w:val="22"/>
          <w:highlight w:val="none"/>
        </w:rPr>
        <w:t>书面形式：指合同文件、信函、电报、传真、数据电文、电子邮件、会议纪要等可以有形地表现所载内容的形式。</w:t>
      </w:r>
    </w:p>
    <w:p w14:paraId="2843FAD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文件：指由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根据合同应提交的所有图纸、手册、模型、计算书、软件和其他文件。</w:t>
      </w:r>
    </w:p>
    <w:p w14:paraId="0CFE023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1.1.6.3</w:t>
      </w:r>
      <w:r>
        <w:rPr>
          <w:rFonts w:hint="eastAsia" w:ascii="宋体" w:hAnsi="宋体" w:eastAsia="宋体" w:cs="宋体"/>
          <w:color w:val="auto"/>
          <w:sz w:val="22"/>
          <w:szCs w:val="22"/>
          <w:highlight w:val="none"/>
        </w:rPr>
        <w:t>现场：指用于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的场所，以及在合同中可能明确指定作为现场组成部分的任何场所。</w:t>
      </w:r>
    </w:p>
    <w:p w14:paraId="4572619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1.1.6.4</w:t>
      </w:r>
      <w:r>
        <w:rPr>
          <w:rFonts w:hint="eastAsia" w:ascii="宋体" w:hAnsi="宋体" w:eastAsia="宋体" w:cs="宋体"/>
          <w:color w:val="auto"/>
          <w:sz w:val="22"/>
          <w:szCs w:val="22"/>
          <w:highlight w:val="none"/>
        </w:rPr>
        <w:t>变更是指根据合同约定，经指示或批准对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要求或</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所做的改变。</w:t>
      </w:r>
    </w:p>
    <w:p w14:paraId="5F9FA1C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1.1.6.5</w:t>
      </w:r>
      <w:r>
        <w:rPr>
          <w:rFonts w:hint="eastAsia" w:ascii="宋体" w:hAnsi="宋体" w:eastAsia="宋体" w:cs="宋体"/>
          <w:color w:val="auto"/>
          <w:sz w:val="22"/>
          <w:szCs w:val="22"/>
          <w:highlight w:val="none"/>
        </w:rPr>
        <w:t>一般设计变更：指在本合同项下的某单项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在实际</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过程中出现了与签订该单项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合同时的预计条件不一致的情况，而需要改变原定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范围内的某些工作内容。如</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、合同价款、</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期、质量要求、位置、标高尺寸及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方法等方面的变化，且此变化控制在相关技术标准的变量范围之内。</w:t>
      </w:r>
    </w:p>
    <w:p w14:paraId="68DEB0B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1.1.6.6</w:t>
      </w:r>
      <w:r>
        <w:rPr>
          <w:rFonts w:hint="eastAsia" w:ascii="宋体" w:hAnsi="宋体" w:eastAsia="宋体" w:cs="宋体"/>
          <w:color w:val="auto"/>
          <w:sz w:val="22"/>
          <w:szCs w:val="22"/>
          <w:highlight w:val="none"/>
        </w:rPr>
        <w:t>重大设计变更：指由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）提出的并由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确认的关于引起复垦面积等重大变动且变动超出原设计控制范围的变更。</w:t>
      </w:r>
    </w:p>
    <w:p w14:paraId="0C422DE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1.1.6.7</w:t>
      </w:r>
      <w:r>
        <w:rPr>
          <w:rFonts w:hint="eastAsia" w:ascii="宋体" w:hAnsi="宋体" w:eastAsia="宋体" w:cs="宋体"/>
          <w:color w:val="auto"/>
          <w:sz w:val="22"/>
          <w:szCs w:val="22"/>
          <w:highlight w:val="none"/>
        </w:rPr>
        <w:t>项目文件：指本合同及与本项目有关的文件。</w:t>
      </w:r>
    </w:p>
    <w:p w14:paraId="5B82064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1.1.6.8</w:t>
      </w:r>
      <w:r>
        <w:rPr>
          <w:rFonts w:hint="eastAsia" w:ascii="宋体" w:hAnsi="宋体" w:eastAsia="宋体" w:cs="宋体"/>
          <w:color w:val="auto"/>
          <w:sz w:val="22"/>
          <w:szCs w:val="22"/>
          <w:highlight w:val="none"/>
        </w:rPr>
        <w:t>进度计划：指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的项目实施方案中确定并经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进度计划。</w:t>
      </w:r>
      <w:bookmarkStart w:id="114" w:name="_Toc354494031"/>
    </w:p>
    <w:bookmarkEnd w:id="114"/>
    <w:p w14:paraId="429EB3B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1.2语言文字</w:t>
      </w:r>
    </w:p>
    <w:p w14:paraId="1A8244A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本合同使用的语言文字为中文。专用术语使用外文的，应附有中文注释。</w:t>
      </w:r>
    </w:p>
    <w:p w14:paraId="00508CC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1.3法律</w:t>
      </w:r>
    </w:p>
    <w:p w14:paraId="0D0231C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适用于本合同的法律包括中华人民共和国法律、行政法规、部门规章，以及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所在地的地方性法规、自治条例、单行条例和地方政府规章。</w:t>
      </w:r>
    </w:p>
    <w:p w14:paraId="465D84D6">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合同的优先解释顺序</w:t>
      </w:r>
    </w:p>
    <w:p w14:paraId="3AFDAD6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组成合同的各项文件应互相解释，互为说明。解释合同文件的优先顺序如下：</w:t>
      </w:r>
    </w:p>
    <w:p w14:paraId="45ED29A5">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62E342B8">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692B5C8C">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5FC99C76">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4C0EA788">
      <w:pPr>
        <w:keepNext w:val="0"/>
        <w:keepLines w:val="0"/>
        <w:pageBreakBefore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6A9C03B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6CFBE9B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5" w:name="_Toc359839705"/>
      <w:bookmarkStart w:id="116" w:name="_Toc354494032"/>
      <w:bookmarkStart w:id="117" w:name="_Toc354478273"/>
      <w:bookmarkStart w:id="118" w:name="_Toc359838520"/>
      <w:bookmarkStart w:id="119" w:name="_Toc359839846"/>
      <w:bookmarkStart w:id="120" w:name="_Toc354478013"/>
      <w:bookmarkStart w:id="121" w:name="_Toc359839317"/>
      <w:r>
        <w:rPr>
          <w:rFonts w:hint="eastAsia" w:ascii="宋体" w:hAnsi="宋体" w:eastAsia="宋体" w:cs="宋体"/>
          <w:b/>
          <w:snapToGrid w:val="0"/>
          <w:color w:val="auto"/>
          <w:kern w:val="2"/>
          <w:sz w:val="22"/>
          <w:szCs w:val="22"/>
          <w:highlight w:val="none"/>
          <w:lang w:val="en-US" w:eastAsia="zh-CN" w:bidi="ar-SA"/>
        </w:rPr>
        <w:t>合同价款的计算、支付</w:t>
      </w:r>
      <w:bookmarkEnd w:id="115"/>
      <w:bookmarkEnd w:id="116"/>
      <w:bookmarkEnd w:id="117"/>
      <w:bookmarkEnd w:id="118"/>
      <w:bookmarkEnd w:id="119"/>
      <w:bookmarkEnd w:id="120"/>
      <w:bookmarkEnd w:id="121"/>
    </w:p>
    <w:p w14:paraId="27D1F79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22" w:name="_Toc354494033"/>
      <w:bookmarkStart w:id="123" w:name="_Toc354478274"/>
      <w:r>
        <w:rPr>
          <w:rFonts w:hint="eastAsia" w:ascii="宋体" w:hAnsi="宋体" w:eastAsia="宋体" w:cs="宋体"/>
          <w:b/>
          <w:bCs/>
          <w:snapToGrid w:val="0"/>
          <w:color w:val="auto"/>
          <w:kern w:val="2"/>
          <w:sz w:val="22"/>
          <w:szCs w:val="22"/>
          <w:highlight w:val="none"/>
          <w:lang w:val="en-US" w:eastAsia="zh-CN" w:bidi="ar-SA"/>
        </w:rPr>
        <w:t>3.1合同总价款的构成</w:t>
      </w:r>
      <w:bookmarkEnd w:id="122"/>
      <w:bookmarkEnd w:id="123"/>
    </w:p>
    <w:p w14:paraId="45F94B4D">
      <w:pPr>
        <w:keepNext w:val="0"/>
        <w:keepLines w:val="0"/>
        <w:pageBreakBefore w:val="0"/>
        <w:widowControl/>
        <w:numPr>
          <w:ilvl w:val="0"/>
          <w:numId w:val="0"/>
        </w:numPr>
        <w:kinsoku/>
        <w:wordWrap/>
        <w:overflowPunct/>
        <w:topLinePunct w:val="0"/>
        <w:bidi w:val="0"/>
        <w:spacing w:line="400" w:lineRule="exact"/>
        <w:ind w:left="420" w:leftChars="0"/>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农村土地整治</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项目运营等</w:t>
      </w:r>
      <w:r>
        <w:rPr>
          <w:rFonts w:hint="eastAsia" w:ascii="宋体" w:hAnsi="宋体" w:eastAsia="宋体" w:cs="宋体"/>
          <w:bCs w:val="0"/>
          <w:color w:val="auto"/>
          <w:kern w:val="2"/>
          <w:sz w:val="22"/>
          <w:szCs w:val="22"/>
          <w:highlight w:val="none"/>
          <w:lang w:val="en-US" w:eastAsia="zh-CN"/>
        </w:rPr>
        <w:t>。</w:t>
      </w:r>
    </w:p>
    <w:p w14:paraId="7D7CB168">
      <w:pPr>
        <w:keepNext w:val="0"/>
        <w:keepLines w:val="0"/>
        <w:pageBreakBefore w:val="0"/>
        <w:widowControl/>
        <w:numPr>
          <w:ilvl w:val="0"/>
          <w:numId w:val="0"/>
        </w:numPr>
        <w:kinsoku/>
        <w:wordWrap/>
        <w:overflowPunct/>
        <w:topLinePunct w:val="0"/>
        <w:bidi w:val="0"/>
        <w:spacing w:line="400" w:lineRule="exact"/>
        <w:ind w:left="420" w:leftChars="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规定的项目承包内容所需发生的直接成本、间接成本、利润、税金、</w:t>
      </w:r>
    </w:p>
    <w:p w14:paraId="63B232E4">
      <w:pPr>
        <w:keepNext w:val="0"/>
        <w:keepLines w:val="0"/>
        <w:pageBreakBefore w:val="0"/>
        <w:widowControl/>
        <w:numPr>
          <w:ilvl w:val="0"/>
          <w:numId w:val="0"/>
        </w:numPr>
        <w:kinsoku/>
        <w:wordWrap/>
        <w:overflowPunct/>
        <w:topLinePunct w:val="0"/>
        <w:bidi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；凡未列入的，将被认为均已包含在亩均单价中，今后不得以任何理由追加或调整。</w:t>
      </w:r>
    </w:p>
    <w:p w14:paraId="5C15E0C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3.2合同总价款的支付</w:t>
      </w:r>
    </w:p>
    <w:p w14:paraId="03EEE2D5">
      <w:pPr>
        <w:keepNext w:val="0"/>
        <w:keepLines w:val="0"/>
        <w:pageBreakBefore w:val="0"/>
        <w:tabs>
          <w:tab w:val="left" w:pos="2700"/>
        </w:tabs>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3.2.1项目支付方式：</w:t>
      </w:r>
    </w:p>
    <w:p w14:paraId="6C5295AC">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3E140F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7BB6CA9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36B4CCB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1871B60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预付款支付比例或金额：合同价款总额的30%(由甲方根据项目实际情况及资金情况分批支付)。</w:t>
      </w:r>
    </w:p>
    <w:p w14:paraId="3207A19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预付款支付期限：合同生效后，主要人员、机械设备进场并经本项目建设单位（丙方）、甲方、监理单位确认后，丙方向乙方预付合同价款总额的30%。</w:t>
      </w:r>
    </w:p>
    <w:p w14:paraId="1EC440D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6F40B18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支付金额经监理单位签发和建设单位（丙方）、甲方审核后，丙方向乙方支付经核实的工程款，支付比例为审核签发后工程量造价的85%，当本工程进度款支付至合同价的85%时，将停止支付工程进度款。待</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项目竣工验收合格后并办理竣工结算，经相关单位审定并经城建档案馆备案，付至最终审定价款的98.5%后，扣留结算造价1.5%保修金。缺陷责任期满，经验收无缺陷后，全部质量保修金一次性退还（质量保修金不计息）。</w:t>
      </w:r>
    </w:p>
    <w:p w14:paraId="5AD1F18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牵头人基本账户</w:t>
      </w:r>
      <w:r>
        <w:rPr>
          <w:rFonts w:hint="eastAsia" w:ascii="宋体" w:hAnsi="宋体" w:eastAsia="宋体" w:cs="宋体"/>
          <w:bCs w:val="0"/>
          <w:color w:val="auto"/>
          <w:kern w:val="2"/>
          <w:sz w:val="22"/>
          <w:szCs w:val="22"/>
          <w:highlight w:val="none"/>
        </w:rPr>
        <w:t>。</w:t>
      </w:r>
    </w:p>
    <w:p w14:paraId="3FDF871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3.3税费</w:t>
      </w:r>
    </w:p>
    <w:p w14:paraId="45341FA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本项目可能涉及的相关税费由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自行考虑计入合同总价。</w:t>
      </w:r>
    </w:p>
    <w:p w14:paraId="0F66448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3.4履约保证金</w:t>
      </w:r>
    </w:p>
    <w:p w14:paraId="074FFD8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509C9F6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r>
        <w:rPr>
          <w:rFonts w:hint="eastAsia" w:ascii="宋体" w:hAnsi="宋体" w:eastAsia="宋体" w:cs="宋体"/>
          <w:color w:val="auto"/>
          <w:sz w:val="22"/>
          <w:szCs w:val="22"/>
          <w:highlight w:val="none"/>
        </w:rPr>
        <w:t>。</w:t>
      </w:r>
    </w:p>
    <w:p w14:paraId="4A493FC4">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服务期</w:t>
      </w:r>
    </w:p>
    <w:p w14:paraId="12DAF9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正式运营服务期：三年（</w:t>
      </w:r>
      <w:r>
        <w:rPr>
          <w:rFonts w:hint="eastAsia" w:ascii="宋体" w:hAnsi="宋体" w:cs="宋体"/>
          <w:color w:val="auto"/>
          <w:sz w:val="22"/>
          <w:szCs w:val="22"/>
          <w:highlight w:val="none"/>
          <w:lang w:val="en-US" w:eastAsia="zh-CN"/>
        </w:rPr>
        <w:t>自过渡期满后开始计算，若上级政策及主管部门另有要求的，以其规定为准，乙方须无条件接受</w:t>
      </w:r>
      <w:r>
        <w:rPr>
          <w:rFonts w:hint="eastAsia" w:ascii="宋体" w:hAnsi="宋体" w:eastAsia="宋体" w:cs="宋体"/>
          <w:color w:val="auto"/>
          <w:sz w:val="22"/>
          <w:szCs w:val="22"/>
          <w:highlight w:val="none"/>
          <w:lang w:val="en-US" w:eastAsia="zh-CN"/>
        </w:rPr>
        <w:t>），运营期满后以上级政策及主管部门为准</w:t>
      </w:r>
      <w:r>
        <w:rPr>
          <w:rFonts w:hint="eastAsia" w:ascii="宋体" w:hAnsi="宋体" w:eastAsia="宋体" w:cs="宋体"/>
          <w:color w:val="auto"/>
          <w:sz w:val="22"/>
          <w:szCs w:val="22"/>
          <w:highlight w:val="none"/>
        </w:rPr>
        <w:t>。</w:t>
      </w:r>
    </w:p>
    <w:p w14:paraId="1451232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由于下述原因之一而影响</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进度，而且受影响的</w:t>
      </w:r>
      <w:r>
        <w:rPr>
          <w:rFonts w:hint="eastAsia" w:ascii="宋体" w:hAnsi="宋体" w:eastAsia="宋体" w:cs="宋体"/>
          <w:color w:val="auto"/>
          <w:sz w:val="22"/>
          <w:szCs w:val="22"/>
          <w:highlight w:val="none"/>
          <w:lang w:val="en-US" w:eastAsia="zh-CN"/>
        </w:rPr>
        <w:t>项目服务内容</w:t>
      </w:r>
      <w:r>
        <w:rPr>
          <w:rFonts w:hint="eastAsia" w:ascii="宋体" w:hAnsi="宋体" w:eastAsia="宋体" w:cs="宋体"/>
          <w:color w:val="auto"/>
          <w:sz w:val="22"/>
          <w:szCs w:val="22"/>
          <w:highlight w:val="none"/>
        </w:rPr>
        <w:t>是处在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进度网络计划的关键线路上，</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有权要求延长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w:t>
      </w:r>
    </w:p>
    <w:p w14:paraId="6E92BC2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(1)组织验收时间超过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申请验收时间30天；</w:t>
      </w:r>
    </w:p>
    <w:p w14:paraId="7918E59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(2)保护文物；</w:t>
      </w:r>
    </w:p>
    <w:p w14:paraId="23C369E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(3)政策处理工作未能按计划如期完成；</w:t>
      </w:r>
    </w:p>
    <w:p w14:paraId="5FC2416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(4)因规划调整、</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地质条件变化导致</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的增加；</w:t>
      </w:r>
    </w:p>
    <w:p w14:paraId="2BA6F58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(5)不可抗力造成的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期延误。</w:t>
      </w:r>
    </w:p>
    <w:p w14:paraId="63586C3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4.2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应在第4.1款第（1）项所述情况发生后14天内向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核实。在第4.1款第(2)-(5)项所述情况发生后14天内向监理工程师发出要求延长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期的书面通知，并抄送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期的相关证明材料，供监理工程师核实。</w:t>
      </w:r>
    </w:p>
    <w:p w14:paraId="5B53BC7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监理工程师在与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适当协商并报经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批准后应确定延长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期的天数，并通知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。在上述任何情况下，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均不能降低</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质量标准。</w:t>
      </w:r>
    </w:p>
    <w:p w14:paraId="51F6896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24" w:name="_Toc354478278"/>
      <w:bookmarkStart w:id="125" w:name="_Toc359839848"/>
      <w:bookmarkStart w:id="126" w:name="_Toc359839707"/>
      <w:bookmarkStart w:id="127" w:name="_Toc359839319"/>
      <w:bookmarkStart w:id="128" w:name="_Toc359838522"/>
      <w:bookmarkStart w:id="129" w:name="_Toc354494037"/>
      <w:bookmarkStart w:id="130" w:name="_Toc354478015"/>
      <w:r>
        <w:rPr>
          <w:rFonts w:hint="eastAsia" w:ascii="宋体" w:hAnsi="宋体" w:eastAsia="宋体" w:cs="宋体"/>
          <w:b/>
          <w:snapToGrid w:val="0"/>
          <w:color w:val="auto"/>
          <w:kern w:val="2"/>
          <w:sz w:val="22"/>
          <w:szCs w:val="22"/>
          <w:highlight w:val="none"/>
          <w:lang w:val="en-US" w:eastAsia="zh-CN" w:bidi="ar-SA"/>
        </w:rPr>
        <w:t>项目进度</w:t>
      </w:r>
      <w:bookmarkEnd w:id="124"/>
      <w:bookmarkEnd w:id="125"/>
      <w:bookmarkEnd w:id="126"/>
      <w:bookmarkEnd w:id="127"/>
      <w:bookmarkEnd w:id="128"/>
      <w:bookmarkEnd w:id="129"/>
      <w:bookmarkEnd w:id="130"/>
    </w:p>
    <w:p w14:paraId="4F9188F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必须按照合同规定的日期开始工作。</w:t>
      </w:r>
    </w:p>
    <w:p w14:paraId="2A1BE22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5.2</w:t>
      </w:r>
      <w:r>
        <w:rPr>
          <w:rFonts w:hint="eastAsia" w:ascii="宋体" w:hAnsi="宋体" w:eastAsia="宋体" w:cs="宋体"/>
          <w:color w:val="auto"/>
          <w:sz w:val="22"/>
          <w:szCs w:val="22"/>
          <w:highlight w:val="none"/>
        </w:rPr>
        <w:t>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前1个月，</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应向监理人提交各期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组织计划和进度计划，</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应以书面形式提供为实施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计划采用的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期安排和方法的总体说明报监理人审批，监理人在10日内审核后书面确认。</w:t>
      </w:r>
    </w:p>
    <w:p w14:paraId="03DE80A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编制各期项目的总体</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组织计划和进度计划时，应按日历天为单位考虑工作量，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将对照该进度计划进行考核，以每30日历天为一个考核周期，作为项目进度计划考核的依据。</w:t>
      </w:r>
    </w:p>
    <w:p w14:paraId="3336532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5.4</w:t>
      </w:r>
      <w:r>
        <w:rPr>
          <w:rFonts w:hint="eastAsia" w:ascii="宋体" w:hAnsi="宋体" w:eastAsia="宋体" w:cs="宋体"/>
          <w:color w:val="auto"/>
          <w:sz w:val="22"/>
          <w:szCs w:val="22"/>
          <w:highlight w:val="none"/>
        </w:rPr>
        <w:t>各期项目的总进度计划或安排都不应有重大更改，如果任何一方对进度或安排有重大更改，须提前10日书面通知另一方并征得另一方书面同意，如果在未经另一方同意的情况下私自变更，私自变更方应承担由此产生的一切责任。</w:t>
      </w:r>
    </w:p>
    <w:p w14:paraId="1EF3384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应负责编制和上报各单项</w:t>
      </w:r>
      <w:r>
        <w:rPr>
          <w:rFonts w:hint="eastAsia" w:ascii="宋体" w:hAnsi="宋体" w:eastAsia="宋体" w:cs="宋体"/>
          <w:color w:val="auto"/>
          <w:sz w:val="22"/>
          <w:szCs w:val="22"/>
          <w:highlight w:val="none"/>
          <w:lang w:val="en-US" w:eastAsia="zh-CN"/>
        </w:rPr>
        <w:t>实施项目</w:t>
      </w:r>
      <w:r>
        <w:rPr>
          <w:rFonts w:hint="eastAsia" w:ascii="宋体" w:hAnsi="宋体" w:eastAsia="宋体" w:cs="宋体"/>
          <w:color w:val="auto"/>
          <w:sz w:val="22"/>
          <w:szCs w:val="22"/>
          <w:highlight w:val="none"/>
        </w:rPr>
        <w:t>的进度报告（包括月、季、年），并提交给监理人。每一份报告应包括：每一阶段进展情况的说明；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状况的图表；实际进度与计划进度的对比；安全统计，包括涉及环境和公共关系方面的任何危险事件与活动的详情，可能影响按照合同完工的任何因素的详情，以及为消除这些因素正在采取（或者准备采取）的措施。</w:t>
      </w:r>
    </w:p>
    <w:p w14:paraId="7B58EBE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变更</w:t>
      </w:r>
    </w:p>
    <w:p w14:paraId="54F03DB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6.1变更情形</w:t>
      </w:r>
    </w:p>
    <w:p w14:paraId="67EADB1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当发生以下情形时，构成变更：</w:t>
      </w:r>
    </w:p>
    <w:p w14:paraId="1165291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要求”中明确的土地整治面积等边界条件发生重大变动（须经原批准部门批准）；</w:t>
      </w:r>
    </w:p>
    <w:p w14:paraId="28468E3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决定延期实施（须在原定的实施时间10天前通知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p>
    <w:p w14:paraId="7B8D91D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6.2变更处理</w:t>
      </w:r>
    </w:p>
    <w:p w14:paraId="31869CA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当发生本合同条款第6.1款第（1）项变更时，按实调整土地整治面积，</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以</w:t>
      </w:r>
      <w:r>
        <w:rPr>
          <w:rFonts w:hint="eastAsia" w:ascii="宋体" w:hAnsi="宋体" w:eastAsia="宋体" w:cs="宋体"/>
          <w:color w:val="auto"/>
          <w:sz w:val="22"/>
          <w:szCs w:val="22"/>
          <w:highlight w:val="none"/>
          <w:lang w:val="en-US" w:eastAsia="zh-CN"/>
        </w:rPr>
        <w:t>中标</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lang w:val="en-US" w:eastAsia="zh-CN"/>
        </w:rPr>
        <w:t>单</w:t>
      </w:r>
      <w:r>
        <w:rPr>
          <w:rFonts w:hint="eastAsia" w:ascii="宋体" w:hAnsi="宋体" w:eastAsia="宋体" w:cs="宋体"/>
          <w:color w:val="auto"/>
          <w:sz w:val="22"/>
          <w:szCs w:val="22"/>
          <w:highlight w:val="none"/>
        </w:rPr>
        <w:t>价包干实施。</w:t>
      </w:r>
    </w:p>
    <w:p w14:paraId="1E02A50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无论发生第（1）项或第（2）项变更时，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均不得以变更为由向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提出索赔。</w:t>
      </w:r>
    </w:p>
    <w:p w14:paraId="1C8222B5">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承诺和保证</w:t>
      </w:r>
    </w:p>
    <w:p w14:paraId="0748D45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7.1甲方、丙方的承诺和保证</w:t>
      </w:r>
    </w:p>
    <w:p w14:paraId="6C53682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做好配合</w:t>
      </w:r>
      <w:r>
        <w:rPr>
          <w:rFonts w:hint="eastAsia" w:ascii="宋体" w:hAnsi="宋体" w:eastAsia="宋体" w:cs="宋体"/>
          <w:color w:val="auto"/>
          <w:sz w:val="22"/>
          <w:szCs w:val="22"/>
          <w:highlight w:val="none"/>
        </w:rPr>
        <w:t>工作。</w:t>
      </w:r>
    </w:p>
    <w:p w14:paraId="2EB7C18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7.1.2</w:t>
      </w:r>
      <w:r>
        <w:rPr>
          <w:rFonts w:hint="eastAsia" w:ascii="宋体" w:hAnsi="宋体" w:eastAsia="宋体" w:cs="宋体"/>
          <w:b w:val="0"/>
          <w:bCs/>
          <w:color w:val="auto"/>
          <w:sz w:val="22"/>
          <w:szCs w:val="22"/>
          <w:highlight w:val="none"/>
          <w:lang w:val="en-US" w:eastAsia="zh-CN"/>
        </w:rPr>
        <w:t>由丙方</w:t>
      </w:r>
      <w:r>
        <w:rPr>
          <w:rFonts w:hint="eastAsia" w:ascii="宋体" w:hAnsi="宋体" w:eastAsia="宋体" w:cs="宋体"/>
          <w:b w:val="0"/>
          <w:bCs/>
          <w:color w:val="auto"/>
          <w:sz w:val="22"/>
          <w:szCs w:val="22"/>
          <w:highlight w:val="none"/>
        </w:rPr>
        <w:t>按合同</w:t>
      </w:r>
      <w:r>
        <w:rPr>
          <w:rFonts w:hint="eastAsia" w:ascii="宋体" w:hAnsi="宋体" w:eastAsia="宋体" w:cs="宋体"/>
          <w:color w:val="auto"/>
          <w:sz w:val="22"/>
          <w:szCs w:val="22"/>
          <w:highlight w:val="none"/>
        </w:rPr>
        <w:t>规定按时向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提供合同款。</w:t>
      </w:r>
    </w:p>
    <w:p w14:paraId="3F625AC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7.2乙方的承诺和保证</w:t>
      </w:r>
    </w:p>
    <w:p w14:paraId="1D7D318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在项目</w:t>
      </w:r>
      <w:r>
        <w:rPr>
          <w:rFonts w:hint="eastAsia" w:ascii="宋体" w:hAnsi="宋体" w:eastAsia="宋体" w:cs="宋体"/>
          <w:color w:val="auto"/>
          <w:sz w:val="22"/>
          <w:szCs w:val="22"/>
          <w:highlight w:val="none"/>
          <w:lang w:val="en-US" w:eastAsia="zh-CN"/>
        </w:rPr>
        <w:t>服务实施</w:t>
      </w:r>
      <w:r>
        <w:rPr>
          <w:rFonts w:hint="eastAsia" w:ascii="宋体" w:hAnsi="宋体" w:eastAsia="宋体" w:cs="宋体"/>
          <w:color w:val="auto"/>
          <w:sz w:val="22"/>
          <w:szCs w:val="22"/>
          <w:highlight w:val="none"/>
        </w:rPr>
        <w:t>时间方面的特别承诺和保证：</w:t>
      </w:r>
    </w:p>
    <w:p w14:paraId="206E39B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保证按照本合同约定准时开始工作。</w:t>
      </w:r>
    </w:p>
    <w:p w14:paraId="4912E22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（2）为保证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的进展和按期完成，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提供的场地进行详细的规划，如在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时尚有部分拆迁未完成，则应先对可以</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部分进行规划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，合</w:t>
      </w:r>
      <w:r>
        <w:rPr>
          <w:rFonts w:hint="eastAsia" w:ascii="宋体" w:hAnsi="宋体" w:eastAsia="宋体" w:cs="宋体"/>
          <w:color w:val="auto"/>
          <w:sz w:val="22"/>
          <w:szCs w:val="22"/>
          <w:highlight w:val="none"/>
          <w:lang w:val="en-US" w:eastAsia="zh-CN"/>
        </w:rPr>
        <w:t>理</w:t>
      </w:r>
      <w:r>
        <w:rPr>
          <w:rFonts w:hint="eastAsia" w:ascii="宋体" w:hAnsi="宋体" w:eastAsia="宋体" w:cs="宋体"/>
          <w:color w:val="auto"/>
          <w:sz w:val="22"/>
          <w:szCs w:val="22"/>
          <w:highlight w:val="none"/>
        </w:rPr>
        <w:t>调配</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及采购力量，并配合</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及相关部门对于未完成拆迁部分进行拆迁。一旦该拆迁完成，提供足够的</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力量，以便</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的进展不受影响。</w:t>
      </w:r>
    </w:p>
    <w:p w14:paraId="4952EE1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（3）在考虑</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进展时，充分考虑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所在地每年会发生雨季、台风、暴雨、干旱季节、高温、寒冷及其他自然因素对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可能产生的影响，合同确定的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期亦充分考虑了该等影响因素。</w:t>
      </w:r>
    </w:p>
    <w:p w14:paraId="3C8379F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（4）在发生或估计会发生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期迟延的情况时，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应加强</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力量进行赶工，并确保</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质量，以便延误的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期能够赶上，按照在保证质量的情况下通过验收。</w:t>
      </w:r>
    </w:p>
    <w:p w14:paraId="5EB54D9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有权在发现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按计划可能或实际发生</w:t>
      </w:r>
      <w:r>
        <w:rPr>
          <w:rFonts w:hint="eastAsia" w:ascii="宋体" w:hAnsi="宋体" w:eastAsia="宋体" w:cs="宋体"/>
          <w:color w:val="auto"/>
          <w:sz w:val="22"/>
          <w:szCs w:val="22"/>
          <w:highlight w:val="none"/>
          <w:lang w:val="en-US" w:eastAsia="zh-CN"/>
        </w:rPr>
        <w:t>项目实施期</w:t>
      </w:r>
      <w:r>
        <w:rPr>
          <w:rFonts w:hint="eastAsia" w:ascii="宋体" w:hAnsi="宋体" w:eastAsia="宋体" w:cs="宋体"/>
          <w:color w:val="auto"/>
          <w:sz w:val="22"/>
          <w:szCs w:val="22"/>
          <w:highlight w:val="none"/>
        </w:rPr>
        <w:t>延误的情况下，要求</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加强</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力量的配置。</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应该在收到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或其代表、监理人的通知（不管是口头或书面）后，应即刻调整或改正。</w:t>
      </w:r>
    </w:p>
    <w:p w14:paraId="2E3DE10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bCs w:val="0"/>
          <w:color w:val="auto"/>
          <w:kern w:val="2"/>
          <w:sz w:val="22"/>
          <w:szCs w:val="22"/>
          <w:highlight w:val="none"/>
          <w:u w:val="none"/>
          <w:lang w:val="en-US" w:eastAsia="zh-CN"/>
        </w:rPr>
        <w:t>（6）</w:t>
      </w:r>
      <w:r>
        <w:rPr>
          <w:rFonts w:hint="eastAsia" w:ascii="宋体" w:hAnsi="宋体" w:eastAsia="宋体" w:cs="宋体"/>
          <w:bCs w:val="0"/>
          <w:color w:val="auto"/>
          <w:kern w:val="2"/>
          <w:sz w:val="22"/>
          <w:szCs w:val="22"/>
          <w:highlight w:val="none"/>
          <w:u w:val="none"/>
          <w:lang w:val="en-US" w:eastAsia="zh-CN"/>
        </w:rPr>
        <w:t>本项目经</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书面同意后进行分包，</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有权对</w:t>
      </w:r>
      <w:r>
        <w:rPr>
          <w:rFonts w:hint="eastAsia" w:ascii="宋体" w:hAnsi="宋体" w:cs="宋体"/>
          <w:bCs w:val="0"/>
          <w:color w:val="auto"/>
          <w:kern w:val="2"/>
          <w:sz w:val="22"/>
          <w:szCs w:val="22"/>
          <w:highlight w:val="none"/>
          <w:u w:val="none"/>
          <w:lang w:val="en-US" w:eastAsia="zh-CN"/>
        </w:rPr>
        <w:t>乙方</w:t>
      </w:r>
      <w:r>
        <w:rPr>
          <w:rFonts w:hint="eastAsia" w:ascii="宋体" w:hAnsi="宋体" w:eastAsia="宋体" w:cs="宋体"/>
          <w:bCs w:val="0"/>
          <w:color w:val="auto"/>
          <w:kern w:val="2"/>
          <w:sz w:val="22"/>
          <w:szCs w:val="22"/>
          <w:highlight w:val="none"/>
          <w:u w:val="none"/>
          <w:lang w:val="en-US" w:eastAsia="zh-CN"/>
        </w:rPr>
        <w:t>分包的内容进行监管。</w:t>
      </w:r>
    </w:p>
    <w:p w14:paraId="1DD0841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质量方面的特别承诺和保证：</w:t>
      </w:r>
    </w:p>
    <w:p w14:paraId="1F7A6B8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充分理解，严格把握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质量，是本合同及相关采购文件、响应文件中关键义务。</w:t>
      </w:r>
    </w:p>
    <w:p w14:paraId="4DEE33E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保证将投入具有足够充分数量的并具有相应资格、资质以及类似</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经验的设计</w:t>
      </w:r>
      <w:r>
        <w:rPr>
          <w:rFonts w:hint="eastAsia" w:ascii="宋体" w:hAnsi="宋体" w:eastAsia="宋体" w:cs="宋体"/>
          <w:color w:val="auto"/>
          <w:sz w:val="22"/>
          <w:szCs w:val="22"/>
          <w:highlight w:val="none"/>
          <w:lang w:val="en-US"/>
        </w:rPr>
        <w:t>、</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专业人士及管理人员力量，充分保证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质量。未经监理工程师同意，不得减少、替换合同约定的专业人员、管理人员及</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w:t>
      </w:r>
    </w:p>
    <w:p w14:paraId="11BBDAE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场地及地质状况和可能会影响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质量的各个环节及因素，能够有充分的了解并严格把关，采取一切措施防止产生</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瑕疵的情形。</w:t>
      </w:r>
    </w:p>
    <w:p w14:paraId="76FC81F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要求”及强制性标准开展</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设计，并按设计审查意见调整设计成果。</w:t>
      </w:r>
    </w:p>
    <w:p w14:paraId="4ABF775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的协助下，以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的名义具体负责初步设计的报批工作。</w:t>
      </w:r>
    </w:p>
    <w:p w14:paraId="7530DA2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所采购的原材料及设备、设施应符合本项目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的要求，防止不合格或假冒的原材料及设备、设施用于本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应建立起本项目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的检查、监督机制，发现或被指出有不符合要求的原材料及设备和设施，马上返修、纠正，并自行承担因此造成的费用增加。</w:t>
      </w:r>
    </w:p>
    <w:p w14:paraId="5E18EC9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进一步保证投入足够的原材料及设备、设施用于本项目，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不得偷工减料，防止用其他原材料替代按照设计所需要的原材料，并对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用料、设备、设施及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过程作详细记录。</w:t>
      </w:r>
    </w:p>
    <w:p w14:paraId="19BF43E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（含</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的委托人）、监理人有权随时进入</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的任何地点，并有权向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调取和复制与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、采购以及与之相关的所有文件、材料，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应予配合和提供。</w:t>
      </w:r>
    </w:p>
    <w:p w14:paraId="55794E3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（8）任何时候如</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及监理人发现有任何不符合质量要求的情况，</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在接到书面通知后，应立即纠正，并自行承担因此产生的任何额外费用。</w:t>
      </w:r>
    </w:p>
    <w:p w14:paraId="39A2F82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（9）对上述保证的任何违反，构成对本项目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质量的实质性违反，</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必须立即纠正，否则应视为实质性违反合同。</w:t>
      </w:r>
    </w:p>
    <w:p w14:paraId="10DBE6CB">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应做好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场地周围文物保护建筑、古树名木的保护工作。发生保护措施费用根据实际情况由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、监理人签证。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场地周围邻近建筑物、地下管线、构筑物由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负责保护及承担措施费用。保护期间若发生损坏，由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248019F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应及时足额支付农民工工资，若有拖欠农民工工资的现象，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有权在合同款中扣除相应数额，用于农民工工资的发放；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在完工验收合格后，向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支付合同规定的合同价款前，在当地媒体上发布关于清理该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欠薪的公告，经确认无拖欠农民工工资后，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方可支付合同价款。</w:t>
      </w:r>
    </w:p>
    <w:p w14:paraId="5FC46FC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职责和权利</w:t>
      </w:r>
    </w:p>
    <w:p w14:paraId="256F487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8.1甲方的职责和权利</w:t>
      </w:r>
    </w:p>
    <w:p w14:paraId="1B63F6C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除本合同及附件已有明确规定外，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的职责和权利还包括：</w:t>
      </w:r>
    </w:p>
    <w:p w14:paraId="6EA271B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办理为本项目实施所必需的以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名义办理的有关政府部门、第三方机构的批准、许可、同意等。</w:t>
      </w:r>
    </w:p>
    <w:p w14:paraId="028EC48B">
      <w:pPr>
        <w:keepNext w:val="0"/>
        <w:keepLines w:val="0"/>
        <w:pageBreakBefore w:val="0"/>
        <w:kinsoku/>
        <w:wordWrap/>
        <w:overflowPunct/>
        <w:topLinePunct w:val="0"/>
        <w:bidi w:val="0"/>
        <w:adjustRightInd w:val="0"/>
        <w:spacing w:line="400" w:lineRule="exact"/>
        <w:ind w:firstLine="389" w:firstLineChars="176"/>
        <w:textAlignment w:val="auto"/>
        <w:rPr>
          <w:rFonts w:hint="eastAsia" w:ascii="宋体" w:hAnsi="宋体" w:eastAsia="宋体" w:cs="宋体"/>
          <w:color w:val="auto"/>
          <w:sz w:val="22"/>
          <w:szCs w:val="22"/>
          <w:highlight w:val="none"/>
          <w:lang w:eastAsia="zh-CN"/>
        </w:rPr>
      </w:pPr>
      <w:r>
        <w:rPr>
          <w:rFonts w:hint="eastAsia" w:ascii="宋体" w:hAnsi="宋体" w:eastAsia="宋体" w:cs="宋体"/>
          <w:b/>
          <w:color w:val="auto"/>
          <w:sz w:val="22"/>
          <w:szCs w:val="22"/>
          <w:highlight w:val="none"/>
        </w:rPr>
        <w:t>8.1.2</w:t>
      </w:r>
      <w:r>
        <w:rPr>
          <w:rFonts w:hint="eastAsia" w:ascii="宋体" w:hAnsi="宋体" w:eastAsia="宋体" w:cs="宋体"/>
          <w:color w:val="auto"/>
          <w:sz w:val="22"/>
          <w:szCs w:val="22"/>
          <w:highlight w:val="none"/>
        </w:rPr>
        <w:t>各乡镇政府负责本项目政策处理工作，保障无障碍</w:t>
      </w:r>
      <w:r>
        <w:rPr>
          <w:rFonts w:hint="eastAsia"/>
          <w:color w:val="auto"/>
          <w:highlight w:val="none"/>
          <w:lang w:val="en-US" w:eastAsia="zh-CN"/>
        </w:rPr>
        <w:t>项目</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环境，并及时向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交付</w:t>
      </w:r>
      <w:r>
        <w:rPr>
          <w:rFonts w:hint="eastAsia" w:ascii="宋体" w:hAnsi="宋体" w:cs="宋体"/>
          <w:color w:val="auto"/>
          <w:sz w:val="22"/>
          <w:szCs w:val="22"/>
          <w:highlight w:val="none"/>
          <w:lang w:eastAsia="zh-CN"/>
        </w:rPr>
        <w:t>改造实施</w:t>
      </w:r>
      <w:r>
        <w:rPr>
          <w:rFonts w:hint="eastAsia" w:ascii="宋体" w:hAnsi="宋体" w:eastAsia="宋体" w:cs="宋体"/>
          <w:color w:val="auto"/>
          <w:sz w:val="22"/>
          <w:szCs w:val="22"/>
          <w:highlight w:val="none"/>
        </w:rPr>
        <w:t>的用地。政策处理费包括青苗调查和赔偿以及其他政策处理费</w:t>
      </w:r>
      <w:r>
        <w:rPr>
          <w:rFonts w:hint="eastAsia" w:ascii="宋体" w:hAnsi="宋体" w:cs="宋体"/>
          <w:color w:val="auto"/>
          <w:sz w:val="22"/>
          <w:szCs w:val="22"/>
          <w:highlight w:val="none"/>
          <w:lang w:eastAsia="zh-CN"/>
        </w:rPr>
        <w:t>。</w:t>
      </w:r>
    </w:p>
    <w:p w14:paraId="59770E2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8.2乙方的职责和权利</w:t>
      </w:r>
    </w:p>
    <w:p w14:paraId="64AF6D3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负责按计划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，确保投入资金满足本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实施的需要。</w:t>
      </w:r>
    </w:p>
    <w:p w14:paraId="28D28DD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8.2.2</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完成的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应完全符合本合同并适合于合同中规定的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的预期目的。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应包括为满足</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要求及本合同明确的或合同隐含或由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的任何义务而产生的任何工作，以及合同中虽未提及但推论对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的稳定、完整或安全、可靠及有效运行所必须的全部工作。</w:t>
      </w:r>
    </w:p>
    <w:p w14:paraId="16AB2F6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应在合同期内实施和完成本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，包括设计、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、提供</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文件，并应在合同期内修补设计、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应为该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的实施、完工以及修补缺陷而提供所需要的或临时性或永久性的全部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劳务、设备、材料，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的设备、临时</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以及所有其他物品。</w:t>
      </w:r>
    </w:p>
    <w:p w14:paraId="7B03997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8.2.4</w:t>
      </w:r>
      <w:r>
        <w:rPr>
          <w:rFonts w:hint="eastAsia" w:ascii="宋体" w:hAnsi="宋体" w:eastAsia="宋体" w:cs="宋体"/>
          <w:color w:val="auto"/>
          <w:sz w:val="22"/>
          <w:szCs w:val="22"/>
          <w:highlight w:val="none"/>
        </w:rPr>
        <w:t>不管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是否给予了批准或同意，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应对全部现场作业、所有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方法以及全部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的完备性、稳定性和安全性承担全部责任。</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负责解决在</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过程中发生的一切争议（包括但不限于结算纠纷、拖欠民工工资纠纷、劳动争议、人身损害等纠纷），承担解决争议的费用或责任，相关费用不计入合同价款。</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保证不会因为争议影响到</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进度、</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w:t>
      </w:r>
    </w:p>
    <w:p w14:paraId="1E4FF73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提出重大设计变更应经监理及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书面同意，如需报原审批机构审核的，审核通过后方可实施。</w:t>
      </w:r>
    </w:p>
    <w:p w14:paraId="3EE31CFC">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8.2.6</w:t>
      </w:r>
      <w:r>
        <w:rPr>
          <w:rFonts w:hint="eastAsia" w:ascii="宋体" w:hAnsi="宋体" w:eastAsia="宋体" w:cs="宋体"/>
          <w:color w:val="auto"/>
          <w:sz w:val="22"/>
          <w:szCs w:val="22"/>
          <w:highlight w:val="none"/>
        </w:rPr>
        <w:t>依法纳税。</w:t>
      </w:r>
    </w:p>
    <w:p w14:paraId="2F72F84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期内应对设计、</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财产和人员伤亡进行保险。</w:t>
      </w:r>
    </w:p>
    <w:p w14:paraId="4716F97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8.2.8</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应按合同规定配合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完工验收，负责解决验收中的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质量问题及质保期的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质量问题并负责向完工备案部门备案。</w:t>
      </w:r>
    </w:p>
    <w:p w14:paraId="338B7B6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8.2.9</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应始终遵守政府当局发布的一切有关法律、条例和法令，</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应经常取得与适用于本项目已公布的法律、条例和法令有关的一切必要的资料。并始终被视为对这些资料有充分的了解。</w:t>
      </w:r>
    </w:p>
    <w:p w14:paraId="57125FE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8.2.10</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签订的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文件必须符合国家有关的法律、法规，并与本合同不相抵触。</w:t>
      </w:r>
    </w:p>
    <w:p w14:paraId="551C4EB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在完工验收后应负责向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提供完整的完工档案、设备、仪器、仪表维修操作手册、质量保修书等有关资料。</w:t>
      </w:r>
    </w:p>
    <w:p w14:paraId="4536A107">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应按档案管理的有关规定，负责编制项目档案，提供给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并保证文书档案移交并向有关部门归档。</w:t>
      </w:r>
    </w:p>
    <w:p w14:paraId="37CC755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8.2.13</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实施过程的重大问题应及时向监理人、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及有关部门汇报。</w:t>
      </w:r>
    </w:p>
    <w:p w14:paraId="5D16B2F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8.2.14</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w:t>
      </w:r>
      <w:r>
        <w:rPr>
          <w:rFonts w:hint="eastAsia" w:ascii="宋体" w:hAnsi="宋体" w:eastAsia="宋体" w:cs="宋体"/>
          <w:color w:val="auto"/>
          <w:sz w:val="22"/>
          <w:szCs w:val="22"/>
          <w:highlight w:val="none"/>
          <w:lang w:val="en-US" w:eastAsia="zh-CN"/>
        </w:rPr>
        <w:t>入库</w:t>
      </w:r>
      <w:r>
        <w:rPr>
          <w:rFonts w:hint="eastAsia" w:ascii="宋体" w:hAnsi="宋体" w:eastAsia="宋体" w:cs="宋体"/>
          <w:color w:val="auto"/>
          <w:sz w:val="22"/>
          <w:szCs w:val="22"/>
          <w:highlight w:val="none"/>
        </w:rPr>
        <w:t>后，按照本合同规定</w:t>
      </w:r>
      <w:r>
        <w:rPr>
          <w:rFonts w:hint="eastAsia" w:ascii="宋体" w:hAnsi="宋体" w:eastAsia="宋体" w:cs="宋体"/>
          <w:color w:val="auto"/>
          <w:sz w:val="22"/>
          <w:szCs w:val="22"/>
          <w:highlight w:val="none"/>
          <w:lang w:val="en-US" w:eastAsia="zh-CN"/>
        </w:rPr>
        <w:t>由乙方负责</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期满后</w:t>
      </w:r>
      <w:r>
        <w:rPr>
          <w:rFonts w:hint="eastAsia" w:ascii="宋体" w:hAnsi="宋体" w:eastAsia="宋体" w:cs="宋体"/>
          <w:color w:val="auto"/>
          <w:sz w:val="22"/>
          <w:szCs w:val="22"/>
          <w:highlight w:val="none"/>
        </w:rPr>
        <w:t>将项目交付给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513E3D5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必须无条件服从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委托的监理人对本项目的监理。</w:t>
      </w:r>
    </w:p>
    <w:p w14:paraId="41CCAB7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8.2.16</w:t>
      </w:r>
      <w:r>
        <w:rPr>
          <w:rFonts w:hint="eastAsia" w:ascii="宋体" w:hAnsi="宋体" w:eastAsia="宋体" w:cs="宋体"/>
          <w:color w:val="auto"/>
          <w:sz w:val="22"/>
          <w:szCs w:val="22"/>
          <w:highlight w:val="none"/>
        </w:rPr>
        <w:t>政策处理完成并具备</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条件，监理人发布开工令后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03DF946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31" w:name="_Toc359839320"/>
      <w:bookmarkStart w:id="132" w:name="_Toc354478018"/>
      <w:bookmarkStart w:id="133" w:name="_Toc359839708"/>
      <w:bookmarkStart w:id="134" w:name="_Toc354494040"/>
      <w:bookmarkStart w:id="135" w:name="_Toc359838523"/>
      <w:bookmarkStart w:id="136" w:name="_Toc359839849"/>
      <w:bookmarkStart w:id="137" w:name="_Toc354478285"/>
      <w:r>
        <w:rPr>
          <w:rFonts w:hint="eastAsia" w:ascii="宋体" w:hAnsi="宋体" w:eastAsia="宋体" w:cs="宋体"/>
          <w:b/>
          <w:snapToGrid w:val="0"/>
          <w:color w:val="auto"/>
          <w:kern w:val="2"/>
          <w:sz w:val="22"/>
          <w:szCs w:val="22"/>
          <w:highlight w:val="none"/>
          <w:lang w:val="en-US" w:eastAsia="zh-CN" w:bidi="ar-SA"/>
        </w:rPr>
        <w:t>验收和</w:t>
      </w:r>
      <w:bookmarkEnd w:id="131"/>
      <w:bookmarkEnd w:id="132"/>
      <w:bookmarkEnd w:id="133"/>
      <w:bookmarkEnd w:id="134"/>
      <w:bookmarkEnd w:id="135"/>
      <w:bookmarkEnd w:id="136"/>
      <w:bookmarkEnd w:id="137"/>
      <w:r>
        <w:rPr>
          <w:rFonts w:hint="eastAsia" w:ascii="宋体" w:hAnsi="宋体" w:eastAsia="宋体" w:cs="宋体"/>
          <w:b/>
          <w:snapToGrid w:val="0"/>
          <w:color w:val="auto"/>
          <w:kern w:val="2"/>
          <w:sz w:val="22"/>
          <w:szCs w:val="22"/>
          <w:highlight w:val="none"/>
          <w:lang w:val="en-US" w:eastAsia="zh-CN" w:bidi="ar-SA"/>
        </w:rPr>
        <w:t>交付</w:t>
      </w:r>
    </w:p>
    <w:p w14:paraId="3640FC7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8" w:name="_Toc359838524"/>
      <w:bookmarkStart w:id="139" w:name="_Toc354494045"/>
      <w:bookmarkStart w:id="140" w:name="_Toc354478290"/>
      <w:r>
        <w:rPr>
          <w:rFonts w:hint="eastAsia" w:ascii="宋体" w:hAnsi="宋体" w:eastAsia="宋体" w:cs="宋体"/>
          <w:b/>
          <w:bCs/>
          <w:snapToGrid w:val="0"/>
          <w:color w:val="auto"/>
          <w:kern w:val="2"/>
          <w:sz w:val="22"/>
          <w:szCs w:val="22"/>
          <w:highlight w:val="none"/>
          <w:lang w:val="en-US" w:eastAsia="zh-CN" w:bidi="ar-SA"/>
        </w:rPr>
        <w:t>9.1</w:t>
      </w:r>
      <w:bookmarkEnd w:id="138"/>
      <w:r>
        <w:rPr>
          <w:rFonts w:hint="eastAsia" w:ascii="宋体" w:hAnsi="宋体" w:eastAsia="宋体" w:cs="宋体"/>
          <w:b/>
          <w:bCs/>
          <w:snapToGrid w:val="0"/>
          <w:color w:val="auto"/>
          <w:kern w:val="2"/>
          <w:sz w:val="22"/>
          <w:szCs w:val="22"/>
          <w:highlight w:val="none"/>
          <w:lang w:val="en-US" w:eastAsia="zh-CN" w:bidi="ar-SA"/>
        </w:rPr>
        <w:t>竣工资料及验收申请</w:t>
      </w:r>
    </w:p>
    <w:p w14:paraId="344D046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default" w:ascii="宋体" w:hAnsi="宋体" w:eastAsia="宋体" w:cs="宋体"/>
          <w:b w:val="0"/>
          <w:bCs w:val="0"/>
          <w:snapToGrid w:val="0"/>
          <w:color w:val="auto"/>
          <w:kern w:val="2"/>
          <w:sz w:val="22"/>
          <w:szCs w:val="22"/>
          <w:highlight w:val="none"/>
          <w:lang w:val="en-US" w:eastAsia="zh-CN" w:bidi="ar-SA"/>
        </w:rPr>
      </w:pPr>
      <w:bookmarkStart w:id="141" w:name="_Toc350862182"/>
      <w:r>
        <w:rPr>
          <w:rFonts w:hint="eastAsia" w:ascii="宋体" w:hAnsi="宋体" w:eastAsia="宋体" w:cs="宋体"/>
          <w:b w:val="0"/>
          <w:bCs w:val="0"/>
          <w:snapToGrid w:val="0"/>
          <w:color w:val="auto"/>
          <w:kern w:val="2"/>
          <w:sz w:val="22"/>
          <w:szCs w:val="22"/>
          <w:highlight w:val="none"/>
          <w:lang w:val="en-US" w:eastAsia="zh-CN" w:bidi="ar-SA"/>
        </w:rPr>
        <w:t>由乙方提出。</w:t>
      </w:r>
    </w:p>
    <w:p w14:paraId="1FD24BA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9.2</w:t>
      </w:r>
      <w:bookmarkEnd w:id="141"/>
      <w:r>
        <w:rPr>
          <w:rFonts w:hint="eastAsia" w:ascii="宋体" w:hAnsi="宋体" w:eastAsia="宋体" w:cs="宋体"/>
          <w:b/>
          <w:bCs/>
          <w:snapToGrid w:val="0"/>
          <w:color w:val="auto"/>
          <w:kern w:val="2"/>
          <w:sz w:val="22"/>
          <w:szCs w:val="22"/>
          <w:highlight w:val="none"/>
          <w:lang w:val="en-US" w:eastAsia="zh-CN" w:bidi="ar-SA"/>
        </w:rPr>
        <w:t>验收</w:t>
      </w:r>
    </w:p>
    <w:p w14:paraId="5B5C960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67EF3DD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65C40429">
      <w:pPr>
        <w:keepNext w:val="0"/>
        <w:keepLines w:val="0"/>
        <w:pageBreakBefore w:val="0"/>
        <w:kinsoku/>
        <w:wordWrap/>
        <w:overflowPunct/>
        <w:topLinePunct w:val="0"/>
        <w:bidi w:val="0"/>
        <w:adjustRightInd w:val="0"/>
        <w:spacing w:line="400" w:lineRule="exact"/>
        <w:ind w:firstLine="440" w:firstLineChars="200"/>
        <w:jc w:val="left"/>
        <w:textAlignment w:val="auto"/>
        <w:rPr>
          <w:rFonts w:hint="eastAsia" w:ascii="宋体" w:hAnsi="宋体" w:eastAsia="宋体" w:cs="宋体"/>
          <w:b w:val="0"/>
          <w:bCs/>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eastAsia="宋体" w:cs="宋体"/>
          <w:b w:val="0"/>
          <w:bCs/>
          <w:color w:val="auto"/>
          <w:kern w:val="2"/>
          <w:sz w:val="22"/>
          <w:szCs w:val="22"/>
          <w:highlight w:val="none"/>
          <w:u w:val="none"/>
          <w:lang w:val="en-US" w:eastAsia="zh-CN"/>
        </w:rPr>
        <w:t>。</w:t>
      </w:r>
    </w:p>
    <w:p w14:paraId="45E4DFC9">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42" w:name="_Toc350862183"/>
      <w:r>
        <w:rPr>
          <w:rFonts w:hint="eastAsia" w:ascii="宋体" w:hAnsi="宋体" w:eastAsia="宋体" w:cs="宋体"/>
          <w:b/>
          <w:bCs/>
          <w:snapToGrid w:val="0"/>
          <w:color w:val="auto"/>
          <w:kern w:val="2"/>
          <w:sz w:val="22"/>
          <w:szCs w:val="22"/>
          <w:highlight w:val="none"/>
          <w:lang w:val="en-US" w:eastAsia="zh-CN" w:bidi="ar-SA"/>
        </w:rPr>
        <w:t>9.3缺陷责任与保修责任</w:t>
      </w:r>
      <w:bookmarkEnd w:id="142"/>
    </w:p>
    <w:p w14:paraId="740589F8">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143" w:name="_Toc359838534"/>
      <w:r>
        <w:rPr>
          <w:rFonts w:hint="eastAsia" w:ascii="宋体" w:hAnsi="宋体" w:eastAsia="宋体" w:cs="宋体"/>
          <w:b/>
          <w:color w:val="auto"/>
          <w:sz w:val="22"/>
          <w:szCs w:val="22"/>
          <w:highlight w:val="none"/>
        </w:rPr>
        <w:t>9.3.1</w:t>
      </w:r>
      <w:r>
        <w:rPr>
          <w:rFonts w:hint="eastAsia" w:ascii="宋体" w:hAnsi="宋体" w:eastAsia="宋体" w:cs="宋体"/>
          <w:color w:val="auto"/>
          <w:sz w:val="22"/>
          <w:szCs w:val="22"/>
          <w:highlight w:val="none"/>
        </w:rPr>
        <w:t>缺陷责任期（质量保修期）的起算时间</w:t>
      </w:r>
      <w:bookmarkEnd w:id="143"/>
    </w:p>
    <w:p w14:paraId="6B790D6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缺陷责任期（质量保修期）计算如下：</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r>
        <w:rPr>
          <w:rFonts w:hint="eastAsia" w:ascii="宋体" w:hAnsi="宋体" w:eastAsia="宋体" w:cs="宋体"/>
          <w:color w:val="auto"/>
          <w:sz w:val="22"/>
          <w:szCs w:val="22"/>
          <w:highlight w:val="none"/>
        </w:rPr>
        <w:t>。</w:t>
      </w:r>
    </w:p>
    <w:p w14:paraId="4AC90684">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9.3.2</w:t>
      </w:r>
      <w:r>
        <w:rPr>
          <w:rFonts w:hint="eastAsia" w:ascii="宋体" w:hAnsi="宋体" w:eastAsia="宋体" w:cs="宋体"/>
          <w:color w:val="auto"/>
          <w:sz w:val="22"/>
          <w:szCs w:val="22"/>
          <w:highlight w:val="none"/>
        </w:rPr>
        <w:t>保修责任</w:t>
      </w:r>
    </w:p>
    <w:p w14:paraId="0F3563E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提前验收并签发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接受证书的</w:t>
      </w:r>
      <w:r>
        <w:rPr>
          <w:rFonts w:hint="eastAsia" w:ascii="宋体" w:hAnsi="宋体" w:eastAsia="宋体" w:cs="宋体"/>
          <w:color w:val="auto"/>
          <w:sz w:val="22"/>
          <w:szCs w:val="22"/>
          <w:highlight w:val="none"/>
          <w:lang w:val="en-US" w:eastAsia="zh-CN"/>
        </w:rPr>
        <w:t>完工子项</w:t>
      </w:r>
      <w:r>
        <w:rPr>
          <w:rFonts w:hint="eastAsia" w:ascii="宋体" w:hAnsi="宋体" w:eastAsia="宋体" w:cs="宋体"/>
          <w:color w:val="auto"/>
          <w:sz w:val="22"/>
          <w:szCs w:val="22"/>
          <w:highlight w:val="none"/>
        </w:rPr>
        <w:t>，若未投入正常使用，其保修期同缺陷责任期。</w:t>
      </w:r>
    </w:p>
    <w:p w14:paraId="43CE91C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应负责未交付的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和设备的全部日常维护和缺陷修复工作，对已交付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和设备，则应由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负责日常维护工作，但</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应按交付证书中所列的缺陷修复清单进行修复，直至经监理人检验合格为止。</w:t>
      </w:r>
    </w:p>
    <w:p w14:paraId="3648545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在保修期内使用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和设备过程中，发现新的缺陷和损坏或原修复的缺陷部位或部件又遭损坏，则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应按监理人的指示负责修复，直至经监理人检验合格为止。监理人应会同</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共同进行查验，若经查验确属</w:t>
      </w:r>
      <w:r>
        <w:rPr>
          <w:rFonts w:hint="eastAsia" w:ascii="宋体" w:hAnsi="宋体" w:eastAsia="宋体" w:cs="宋体"/>
          <w:color w:val="auto"/>
          <w:sz w:val="22"/>
          <w:szCs w:val="22"/>
          <w:highlight w:val="none"/>
          <w:lang w:eastAsia="zh-CN"/>
        </w:rPr>
        <w:t>乙方</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中隐存的或其他由于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责任造成的缺陷或损坏，应由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承担修复费用；若经查验确属</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使用不当或其他由于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责任造成的缺陷或损坏，则由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承担修复费用。</w:t>
      </w:r>
    </w:p>
    <w:p w14:paraId="6869803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（4）在整个质量保修期满后的28天内，由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或授权监理人签署和颁发保修责任终止证书给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，若保修期满后还有缺陷未修补，则需待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按监理人的要求完成缺陷修复工作后，再发保修责任终止证书。尽管颁发了发保修责任终止证书，</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均仍应对保修责任终止证书颁发前尚未履行的义务和责任负责。</w:t>
      </w:r>
    </w:p>
    <w:p w14:paraId="4E7E721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（5）在质量保修期内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按法律、行政法规或国家关于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质量保修的有关规定，对交付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承担质量保修责任。若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不履行保修义务和责任，则由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另行确定维修方，费用由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还应承担由于违约造成的法律后果。</w:t>
      </w:r>
    </w:p>
    <w:p w14:paraId="02FF9C9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验收通过之后，在交付时将质量保修书提供给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7AB05F5F">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9.3.3</w:t>
      </w:r>
      <w:r>
        <w:rPr>
          <w:rFonts w:hint="eastAsia" w:ascii="宋体" w:hAnsi="宋体" w:eastAsia="宋体" w:cs="宋体"/>
          <w:color w:val="auto"/>
          <w:sz w:val="22"/>
          <w:szCs w:val="22"/>
          <w:highlight w:val="none"/>
        </w:rPr>
        <w:t>履约担保的返还</w:t>
      </w:r>
    </w:p>
    <w:p w14:paraId="2E850B8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应在项目全部通过验收</w:t>
      </w:r>
      <w:r>
        <w:rPr>
          <w:rFonts w:hint="eastAsia" w:ascii="宋体" w:hAnsi="宋体" w:eastAsia="宋体" w:cs="宋体"/>
          <w:color w:val="auto"/>
          <w:sz w:val="22"/>
          <w:szCs w:val="22"/>
          <w:highlight w:val="none"/>
          <w:lang w:val="en-US" w:eastAsia="zh-CN"/>
        </w:rPr>
        <w:t>入库并</w:t>
      </w:r>
      <w:r>
        <w:rPr>
          <w:rFonts w:hint="eastAsia" w:ascii="宋体" w:hAnsi="宋体" w:eastAsia="宋体" w:cs="宋体"/>
          <w:color w:val="auto"/>
          <w:sz w:val="22"/>
          <w:szCs w:val="22"/>
          <w:highlight w:val="none"/>
        </w:rPr>
        <w:t>无履约问题</w:t>
      </w:r>
      <w:r>
        <w:rPr>
          <w:rFonts w:hint="eastAsia" w:ascii="宋体" w:hAnsi="宋体" w:eastAsia="宋体" w:cs="宋体"/>
          <w:color w:val="auto"/>
          <w:sz w:val="22"/>
          <w:szCs w:val="22"/>
          <w:highlight w:val="none"/>
          <w:lang w:val="en-US" w:eastAsia="zh-CN"/>
        </w:rPr>
        <w:t>之日起</w:t>
      </w:r>
      <w:r>
        <w:rPr>
          <w:rFonts w:hint="eastAsia" w:ascii="宋体" w:hAnsi="宋体" w:eastAsia="宋体" w:cs="宋体"/>
          <w:color w:val="auto"/>
          <w:sz w:val="22"/>
          <w:szCs w:val="22"/>
          <w:highlight w:val="none"/>
        </w:rPr>
        <w:t>15</w:t>
      </w:r>
      <w:r>
        <w:rPr>
          <w:rFonts w:hint="eastAsia" w:ascii="宋体" w:hAnsi="宋体" w:eastAsia="宋体" w:cs="宋体"/>
          <w:color w:val="auto"/>
          <w:sz w:val="22"/>
          <w:szCs w:val="22"/>
          <w:highlight w:val="none"/>
          <w:lang w:val="en-US" w:eastAsia="zh-CN"/>
        </w:rPr>
        <w:t>日后</w:t>
      </w:r>
      <w:r>
        <w:rPr>
          <w:rFonts w:hint="eastAsia" w:ascii="宋体" w:hAnsi="宋体" w:eastAsia="宋体" w:cs="宋体"/>
          <w:color w:val="auto"/>
          <w:sz w:val="22"/>
          <w:szCs w:val="22"/>
          <w:highlight w:val="none"/>
        </w:rPr>
        <w:t>，履约担保</w:t>
      </w:r>
      <w:r>
        <w:rPr>
          <w:rFonts w:hint="eastAsia" w:ascii="宋体" w:hAnsi="宋体" w:eastAsia="宋体" w:cs="宋体"/>
          <w:color w:val="auto"/>
          <w:sz w:val="22"/>
          <w:szCs w:val="22"/>
          <w:highlight w:val="none"/>
          <w:lang w:val="en-US" w:eastAsia="zh-CN"/>
        </w:rPr>
        <w:t>失效或无息退还</w:t>
      </w:r>
      <w:r>
        <w:rPr>
          <w:rFonts w:hint="eastAsia" w:ascii="宋体" w:hAnsi="宋体" w:eastAsia="宋体" w:cs="宋体"/>
          <w:color w:val="auto"/>
          <w:sz w:val="22"/>
          <w:szCs w:val="22"/>
          <w:highlight w:val="none"/>
        </w:rPr>
        <w:t>。</w:t>
      </w:r>
    </w:p>
    <w:bookmarkEnd w:id="139"/>
    <w:bookmarkEnd w:id="140"/>
    <w:p w14:paraId="18F920F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9.4设备的移出</w:t>
      </w:r>
    </w:p>
    <w:p w14:paraId="738418B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交付完毕60日内从现场与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中清除并运走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的所有设备、剩余材料、残物、垃圾和临时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w:t>
      </w:r>
      <w:r>
        <w:rPr>
          <w:rFonts w:hint="eastAsia" w:ascii="宋体" w:hAnsi="宋体" w:eastAsia="宋体" w:cs="宋体"/>
          <w:color w:val="auto"/>
          <w:sz w:val="22"/>
          <w:szCs w:val="22"/>
          <w:highlight w:val="none"/>
          <w:lang w:val="en-US" w:eastAsia="zh-CN"/>
        </w:rPr>
        <w:t>等</w:t>
      </w:r>
      <w:r>
        <w:rPr>
          <w:rFonts w:hint="eastAsia" w:ascii="宋体" w:hAnsi="宋体" w:eastAsia="宋体" w:cs="宋体"/>
          <w:color w:val="auto"/>
          <w:sz w:val="22"/>
          <w:szCs w:val="22"/>
          <w:highlight w:val="none"/>
        </w:rPr>
        <w:t>，因单项</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后续</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或保修需要留下的除外。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应保持现场与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处于相关规范规定的清洁和安全状态，若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在上述时间内未能迁出前述物品，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有权将前述物品移至某一合适地点保存，运输和保存所发生的费用和风险应由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65F8B15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9.5持续责任</w:t>
      </w:r>
    </w:p>
    <w:p w14:paraId="5F7B0A6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即使</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验收并接受了本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中的全部或任何部分的</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、材料、设备；或签发了验收证书，</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缺陷所承担的义务或责任不得解除。</w:t>
      </w:r>
    </w:p>
    <w:p w14:paraId="0CCD800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4" w:name="_Toc359839709"/>
      <w:bookmarkStart w:id="145" w:name="_Toc359839321"/>
      <w:bookmarkStart w:id="146" w:name="_Toc359838537"/>
      <w:bookmarkStart w:id="147" w:name="_Toc359839850"/>
      <w:r>
        <w:rPr>
          <w:rFonts w:hint="eastAsia" w:ascii="宋体" w:hAnsi="宋体" w:eastAsia="宋体" w:cs="宋体"/>
          <w:b/>
          <w:snapToGrid w:val="0"/>
          <w:color w:val="auto"/>
          <w:kern w:val="2"/>
          <w:sz w:val="22"/>
          <w:szCs w:val="22"/>
          <w:highlight w:val="none"/>
          <w:lang w:val="en-US" w:eastAsia="zh-CN" w:bidi="ar-SA"/>
        </w:rPr>
        <w:t>保险</w:t>
      </w:r>
      <w:bookmarkEnd w:id="144"/>
      <w:bookmarkEnd w:id="145"/>
      <w:bookmarkEnd w:id="146"/>
      <w:bookmarkEnd w:id="147"/>
    </w:p>
    <w:p w14:paraId="78A541F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保险</w:t>
      </w:r>
    </w:p>
    <w:p w14:paraId="1154F02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10.1.1</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一切险由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3F73677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5025B08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10.1.2第三者责任险由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1EF2FE3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w:t>
      </w:r>
    </w:p>
    <w:p w14:paraId="4A3A25D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第三者责任险保险金额：300万元/年，事故次数不限（不计免赔额）。</w:t>
      </w:r>
    </w:p>
    <w:p w14:paraId="7329C33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10.2人身意外险种由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负责投保，针对本项目所有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w:t>
      </w:r>
    </w:p>
    <w:p w14:paraId="26A88D4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53CD48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10.3保险凭证</w:t>
      </w:r>
    </w:p>
    <w:p w14:paraId="410FA55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提交保险凭证的期限：保险手续办理完毕后7天内提交。</w:t>
      </w:r>
    </w:p>
    <w:p w14:paraId="45CD400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10.4保险金不足的补偿</w:t>
      </w:r>
    </w:p>
    <w:p w14:paraId="21A30D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负责补偿的范围与金额：保险金不足的补偿均由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w:t>
      </w:r>
    </w:p>
    <w:p w14:paraId="7D6E65B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负责补偿的范围与金额：由于本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一切保险均由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负责投保，其费用均列入报价，故</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不承担保险金不足的补偿。</w:t>
      </w:r>
    </w:p>
    <w:p w14:paraId="357523D0">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8" w:name="_Toc359839323"/>
      <w:bookmarkStart w:id="149" w:name="_Toc359839852"/>
      <w:bookmarkStart w:id="150" w:name="_Toc354478293"/>
      <w:bookmarkStart w:id="151" w:name="_Toc359838542"/>
      <w:bookmarkStart w:id="152" w:name="_Toc359839711"/>
      <w:bookmarkStart w:id="153" w:name="_Toc354494048"/>
      <w:bookmarkStart w:id="154" w:name="_Toc354478021"/>
      <w:r>
        <w:rPr>
          <w:rFonts w:hint="eastAsia" w:ascii="宋体" w:hAnsi="宋体" w:eastAsia="宋体" w:cs="宋体"/>
          <w:b/>
          <w:snapToGrid w:val="0"/>
          <w:color w:val="auto"/>
          <w:kern w:val="2"/>
          <w:sz w:val="22"/>
          <w:szCs w:val="22"/>
          <w:highlight w:val="none"/>
          <w:lang w:val="en-US" w:eastAsia="zh-CN" w:bidi="ar-SA"/>
        </w:rPr>
        <w:t>付款到期日</w:t>
      </w:r>
      <w:bookmarkEnd w:id="148"/>
      <w:bookmarkEnd w:id="149"/>
      <w:bookmarkEnd w:id="150"/>
      <w:bookmarkEnd w:id="151"/>
      <w:bookmarkEnd w:id="152"/>
      <w:bookmarkEnd w:id="153"/>
      <w:bookmarkEnd w:id="154"/>
    </w:p>
    <w:p w14:paraId="20714FE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除非有其它明确规定，本合同项下一方向另一方支付的任何款项应由有支付义务的一方在收到另一方书面支付要求后的7个工作日内支付。</w:t>
      </w:r>
    </w:p>
    <w:p w14:paraId="4F989EC6">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55" w:name="_Toc359839853"/>
      <w:bookmarkStart w:id="156" w:name="_Toc354478294"/>
      <w:bookmarkStart w:id="157" w:name="_Toc354478022"/>
      <w:bookmarkStart w:id="158" w:name="_Toc359838543"/>
      <w:bookmarkStart w:id="159" w:name="_Toc359839712"/>
      <w:bookmarkStart w:id="160" w:name="_Toc354494049"/>
      <w:bookmarkStart w:id="161" w:name="_Toc359839324"/>
      <w:r>
        <w:rPr>
          <w:rFonts w:hint="eastAsia" w:ascii="宋体" w:hAnsi="宋体" w:eastAsia="宋体" w:cs="宋体"/>
          <w:b/>
          <w:snapToGrid w:val="0"/>
          <w:color w:val="auto"/>
          <w:kern w:val="2"/>
          <w:sz w:val="22"/>
          <w:szCs w:val="22"/>
          <w:highlight w:val="none"/>
          <w:lang w:val="en-US" w:eastAsia="zh-CN" w:bidi="ar-SA"/>
        </w:rPr>
        <w:t>违约责任</w:t>
      </w:r>
      <w:bookmarkEnd w:id="155"/>
      <w:bookmarkEnd w:id="156"/>
      <w:bookmarkEnd w:id="157"/>
      <w:bookmarkEnd w:id="158"/>
      <w:bookmarkEnd w:id="159"/>
      <w:bookmarkEnd w:id="160"/>
      <w:bookmarkEnd w:id="161"/>
    </w:p>
    <w:p w14:paraId="1F4F505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2" w:name="_Toc354494050"/>
      <w:bookmarkStart w:id="163" w:name="_Toc354478295"/>
      <w:r>
        <w:rPr>
          <w:rFonts w:hint="eastAsia" w:ascii="宋体" w:hAnsi="宋体" w:eastAsia="宋体" w:cs="宋体"/>
          <w:b/>
          <w:bCs/>
          <w:snapToGrid w:val="0"/>
          <w:color w:val="auto"/>
          <w:kern w:val="2"/>
          <w:sz w:val="22"/>
          <w:szCs w:val="22"/>
          <w:highlight w:val="none"/>
          <w:lang w:val="en-US" w:eastAsia="zh-CN" w:bidi="ar-SA"/>
        </w:rPr>
        <w:t>12.1延误违约金</w:t>
      </w:r>
      <w:bookmarkEnd w:id="162"/>
      <w:bookmarkEnd w:id="163"/>
    </w:p>
    <w:p w14:paraId="680E125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应提供相应的资金支付保障计划，若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未能在约定期限内按时向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足额支付合同价款，按应付合同价款和其延误支付的每日利息（超过约定期限的天数）支付延误赔偿金，计息利率：指按中国人民银行公布的</w:t>
      </w:r>
      <w:r>
        <w:rPr>
          <w:rFonts w:hint="eastAsia" w:ascii="宋体" w:hAnsi="宋体" w:cs="宋体"/>
          <w:color w:val="auto"/>
          <w:sz w:val="22"/>
          <w:szCs w:val="22"/>
          <w:highlight w:val="none"/>
          <w:lang w:val="en-US" w:eastAsia="zh-CN"/>
        </w:rPr>
        <w:t>一</w:t>
      </w:r>
      <w:r>
        <w:rPr>
          <w:rFonts w:hint="eastAsia" w:ascii="宋体" w:hAnsi="宋体" w:eastAsia="宋体" w:cs="宋体"/>
          <w:color w:val="auto"/>
          <w:sz w:val="22"/>
          <w:szCs w:val="22"/>
          <w:highlight w:val="none"/>
        </w:rPr>
        <w:t>年期贷款基准利率。</w:t>
      </w:r>
    </w:p>
    <w:p w14:paraId="645173F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4" w:name="_Toc354478296"/>
      <w:bookmarkStart w:id="165" w:name="_Toc345359046"/>
      <w:bookmarkStart w:id="166" w:name="_Toc354494051"/>
      <w:bookmarkStart w:id="167" w:name="_Toc345358572"/>
      <w:r>
        <w:rPr>
          <w:rFonts w:hint="eastAsia" w:ascii="宋体" w:hAnsi="宋体" w:eastAsia="宋体" w:cs="宋体"/>
          <w:b/>
          <w:bCs/>
          <w:snapToGrid w:val="0"/>
          <w:color w:val="auto"/>
          <w:kern w:val="2"/>
          <w:sz w:val="22"/>
          <w:szCs w:val="22"/>
          <w:highlight w:val="none"/>
          <w:lang w:val="en-US" w:eastAsia="zh-CN" w:bidi="ar-SA"/>
        </w:rPr>
        <w:t>12.2逾期赔偿金</w:t>
      </w:r>
      <w:bookmarkEnd w:id="164"/>
      <w:bookmarkEnd w:id="165"/>
      <w:bookmarkEnd w:id="166"/>
      <w:bookmarkEnd w:id="167"/>
    </w:p>
    <w:p w14:paraId="41017B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应提供相应的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进度计划，保证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按期完成，</w:t>
      </w:r>
      <w:r>
        <w:rPr>
          <w:rFonts w:hint="eastAsia" w:ascii="宋体" w:hAnsi="宋体" w:eastAsia="宋体" w:cs="宋体"/>
          <w:color w:val="auto"/>
          <w:sz w:val="22"/>
          <w:szCs w:val="22"/>
          <w:highlight w:val="none"/>
          <w:lang w:val="en-US" w:eastAsia="zh-CN"/>
        </w:rPr>
        <w:t>由于政策处理无法实施的项目除外，乙方不能以项目实施难度大、造价高等为理由不实施项目。</w:t>
      </w: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原因，未能在合同规定的期限内通过验收，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按单个项目合同价款的万分之二每日（超出30日的天数）支付逾期赔偿金。</w:t>
      </w:r>
    </w:p>
    <w:p w14:paraId="0CC96BF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12.3未能入库违约赔偿金</w:t>
      </w:r>
    </w:p>
    <w:p w14:paraId="4BE6A11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如某单个项目因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原因不能入库的，对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造成的实际损失由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承担；由于政策变化及其他非</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原因导致项目已实施但不能入库的，对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造成的实际损失（由第三方造价咨询单位审核金额为准，若最终</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单价超过中标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单价，则按中标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单价乘以已实施亩数结算）由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44DD74C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8" w:name="_Toc354494052"/>
      <w:bookmarkStart w:id="169" w:name="_Toc354478297"/>
      <w:r>
        <w:rPr>
          <w:rFonts w:hint="eastAsia" w:ascii="宋体" w:hAnsi="宋体" w:eastAsia="宋体" w:cs="宋体"/>
          <w:b/>
          <w:bCs/>
          <w:snapToGrid w:val="0"/>
          <w:color w:val="auto"/>
          <w:kern w:val="2"/>
          <w:sz w:val="22"/>
          <w:szCs w:val="22"/>
          <w:highlight w:val="none"/>
          <w:lang w:val="en-US" w:eastAsia="zh-CN" w:bidi="ar-SA"/>
        </w:rPr>
        <w:t>12.4违约赔偿金</w:t>
      </w:r>
      <w:bookmarkEnd w:id="168"/>
      <w:bookmarkEnd w:id="169"/>
    </w:p>
    <w:p w14:paraId="19BFB77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非违约方）声明另一方（违约方）违约并提供违约事实的证明，并且该违约导致本合同不能履行或不能完全履行，则非违约方有权要求违约方承担违约责任，违约方应在收到上述声明及证明之日起30日内就违约造成的损失予以赔偿，如果非违约方因违约方违约导致本合同不能履行而终止本合同时在不免除任何一方的其他支付义务前提下，违约方应向非违约方支付违约部分的百分之三（3%）作为违约赔偿金。</w:t>
      </w:r>
    </w:p>
    <w:p w14:paraId="784AE844">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12.5三方约定的其他违约责任</w:t>
      </w:r>
    </w:p>
    <w:p w14:paraId="50CA5A6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项目负责人每月到位22日历天及以上，否则按5000元/天的标准支付违约金，其他项目部主要人员（含设计代表）每月到位22日历天及以上，否则按2000元/天的标准支付违约金，该违约金从履约保证金中扣除。</w:t>
      </w:r>
    </w:p>
    <w:p w14:paraId="2940E470">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70" w:name="_Toc359838544"/>
      <w:bookmarkStart w:id="171" w:name="_Toc354494053"/>
      <w:bookmarkStart w:id="172" w:name="_Toc354478023"/>
      <w:bookmarkStart w:id="173" w:name="_Toc359839854"/>
      <w:bookmarkStart w:id="174" w:name="_Toc359839713"/>
      <w:bookmarkStart w:id="175" w:name="_Toc359839325"/>
      <w:bookmarkStart w:id="176" w:name="_Toc354478298"/>
      <w:r>
        <w:rPr>
          <w:rFonts w:hint="eastAsia" w:ascii="宋体" w:hAnsi="宋体" w:eastAsia="宋体" w:cs="宋体"/>
          <w:b/>
          <w:snapToGrid w:val="0"/>
          <w:color w:val="auto"/>
          <w:kern w:val="2"/>
          <w:sz w:val="22"/>
          <w:szCs w:val="22"/>
          <w:highlight w:val="none"/>
          <w:lang w:val="en-US" w:eastAsia="zh-CN" w:bidi="ar-SA"/>
        </w:rPr>
        <w:t>项目延误与终止</w:t>
      </w:r>
      <w:bookmarkEnd w:id="170"/>
      <w:bookmarkEnd w:id="171"/>
      <w:bookmarkEnd w:id="172"/>
      <w:bookmarkEnd w:id="173"/>
      <w:bookmarkEnd w:id="174"/>
      <w:bookmarkEnd w:id="175"/>
      <w:bookmarkEnd w:id="176"/>
    </w:p>
    <w:p w14:paraId="441870B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7" w:name="_Toc354494054"/>
      <w:bookmarkStart w:id="178" w:name="_Toc354478299"/>
      <w:r>
        <w:rPr>
          <w:rFonts w:hint="eastAsia" w:ascii="宋体" w:hAnsi="宋体" w:eastAsia="宋体" w:cs="宋体"/>
          <w:b/>
          <w:bCs/>
          <w:snapToGrid w:val="0"/>
          <w:color w:val="auto"/>
          <w:kern w:val="2"/>
          <w:sz w:val="22"/>
          <w:szCs w:val="22"/>
          <w:highlight w:val="none"/>
          <w:lang w:val="en-US" w:eastAsia="zh-CN" w:bidi="ar-SA"/>
        </w:rPr>
        <w:t>13.1项目</w:t>
      </w:r>
      <w:r>
        <w:rPr>
          <w:rFonts w:hint="eastAsia" w:ascii="宋体" w:hAnsi="宋体" w:cs="宋体"/>
          <w:b/>
          <w:bCs/>
          <w:snapToGrid w:val="0"/>
          <w:color w:val="auto"/>
          <w:kern w:val="2"/>
          <w:sz w:val="22"/>
          <w:szCs w:val="22"/>
          <w:highlight w:val="none"/>
          <w:lang w:val="en-US" w:eastAsia="zh-CN" w:bidi="ar-SA"/>
        </w:rPr>
        <w:t>停止实施</w:t>
      </w:r>
      <w:r>
        <w:rPr>
          <w:rFonts w:hint="eastAsia" w:ascii="宋体" w:hAnsi="宋体" w:eastAsia="宋体" w:cs="宋体"/>
          <w:b/>
          <w:bCs/>
          <w:snapToGrid w:val="0"/>
          <w:color w:val="auto"/>
          <w:kern w:val="2"/>
          <w:sz w:val="22"/>
          <w:szCs w:val="22"/>
          <w:highlight w:val="none"/>
          <w:lang w:val="en-US" w:eastAsia="zh-CN" w:bidi="ar-SA"/>
        </w:rPr>
        <w:t>或</w:t>
      </w:r>
      <w:bookmarkEnd w:id="177"/>
      <w:bookmarkEnd w:id="178"/>
      <w:r>
        <w:rPr>
          <w:rFonts w:hint="eastAsia" w:ascii="宋体" w:hAnsi="宋体" w:cs="宋体"/>
          <w:b/>
          <w:bCs/>
          <w:snapToGrid w:val="0"/>
          <w:color w:val="auto"/>
          <w:kern w:val="2"/>
          <w:sz w:val="22"/>
          <w:szCs w:val="22"/>
          <w:highlight w:val="none"/>
          <w:lang w:val="en-US" w:eastAsia="zh-CN" w:bidi="ar-SA"/>
        </w:rPr>
        <w:t>延缓实施</w:t>
      </w:r>
    </w:p>
    <w:p w14:paraId="3C75200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由于政策变化，不可抗力以及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之外原因导致本项目</w:t>
      </w:r>
      <w:r>
        <w:rPr>
          <w:rFonts w:hint="eastAsia" w:ascii="宋体" w:hAnsi="宋体" w:cs="宋体"/>
          <w:color w:val="auto"/>
          <w:sz w:val="22"/>
          <w:szCs w:val="22"/>
          <w:highlight w:val="none"/>
          <w:lang w:eastAsia="zh-CN"/>
        </w:rPr>
        <w:t>停止实施</w:t>
      </w:r>
      <w:r>
        <w:rPr>
          <w:rFonts w:hint="eastAsia" w:ascii="宋体" w:hAnsi="宋体" w:eastAsia="宋体" w:cs="宋体"/>
          <w:color w:val="auto"/>
          <w:sz w:val="22"/>
          <w:szCs w:val="22"/>
          <w:highlight w:val="none"/>
        </w:rPr>
        <w:t>或</w:t>
      </w:r>
      <w:r>
        <w:rPr>
          <w:rFonts w:hint="eastAsia" w:ascii="宋体" w:hAnsi="宋体" w:cs="宋体"/>
          <w:color w:val="auto"/>
          <w:sz w:val="22"/>
          <w:szCs w:val="22"/>
          <w:highlight w:val="none"/>
          <w:lang w:eastAsia="zh-CN"/>
        </w:rPr>
        <w:t>延缓实施</w:t>
      </w:r>
      <w:r>
        <w:rPr>
          <w:rFonts w:hint="eastAsia" w:ascii="宋体" w:hAnsi="宋体" w:eastAsia="宋体" w:cs="宋体"/>
          <w:color w:val="auto"/>
          <w:sz w:val="22"/>
          <w:szCs w:val="22"/>
          <w:highlight w:val="none"/>
        </w:rPr>
        <w:t>，使合同不能继续履行，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应负责做好已完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和已购材料、设备的保护和交付工作，按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要求将自有的机械设备和人员撤出</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应为撤出提供必要条件，并承担经济支出。已经订货的材料、设备由订购方负责组织退货，不能退货的价款和退货发生的费用，由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735127F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9" w:name="_Toc354494055"/>
      <w:bookmarkStart w:id="180" w:name="_Toc354478300"/>
      <w:r>
        <w:rPr>
          <w:rFonts w:hint="eastAsia" w:ascii="宋体" w:hAnsi="宋体" w:eastAsia="宋体" w:cs="宋体"/>
          <w:b/>
          <w:bCs/>
          <w:snapToGrid w:val="0"/>
          <w:color w:val="auto"/>
          <w:kern w:val="2"/>
          <w:sz w:val="22"/>
          <w:szCs w:val="22"/>
          <w:highlight w:val="none"/>
          <w:lang w:val="en-US" w:eastAsia="zh-CN" w:bidi="ar-SA"/>
        </w:rPr>
        <w:t>13.2合同终止</w:t>
      </w:r>
      <w:bookmarkEnd w:id="179"/>
      <w:bookmarkEnd w:id="180"/>
    </w:p>
    <w:p w14:paraId="416A0E9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13.2.1</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可终止本合同：</w:t>
      </w:r>
    </w:p>
    <w:p w14:paraId="26376A8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原因，在本合同签订后90天内仍未提交规划设计送审稿；</w:t>
      </w:r>
    </w:p>
    <w:p w14:paraId="5BE0BFF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严重滞后，监理人发出项目开工令后1个月内未进场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111738A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违约导致本合同无法继续履行；</w:t>
      </w:r>
    </w:p>
    <w:p w14:paraId="765FC15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以书面形式通知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已终止</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且不打算重新开始；</w:t>
      </w:r>
    </w:p>
    <w:p w14:paraId="27AD62B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（5）因不可抗力原因造成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无法实施；</w:t>
      </w:r>
    </w:p>
    <w:p w14:paraId="40DEE88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许可擅自转让本合同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p>
    <w:p w14:paraId="21B67307">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13.2.2</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可终止本合同：</w:t>
      </w:r>
    </w:p>
    <w:p w14:paraId="01C26C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不能按合同约定及时支付</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应得的合同价款；</w:t>
      </w:r>
    </w:p>
    <w:p w14:paraId="016295D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违约的原因影响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，使</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无法正常履行本合同。</w:t>
      </w:r>
    </w:p>
    <w:p w14:paraId="1A537B4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1" w:name="_Toc354494056"/>
      <w:bookmarkStart w:id="182" w:name="_Toc354478301"/>
      <w:r>
        <w:rPr>
          <w:rFonts w:hint="eastAsia" w:ascii="宋体" w:hAnsi="宋体" w:eastAsia="宋体" w:cs="宋体"/>
          <w:b/>
          <w:bCs/>
          <w:snapToGrid w:val="0"/>
          <w:color w:val="auto"/>
          <w:kern w:val="2"/>
          <w:sz w:val="22"/>
          <w:szCs w:val="22"/>
          <w:highlight w:val="none"/>
          <w:lang w:val="en-US" w:eastAsia="zh-CN" w:bidi="ar-SA"/>
        </w:rPr>
        <w:t>13.3终止合同时的估价</w:t>
      </w:r>
      <w:bookmarkEnd w:id="181"/>
      <w:bookmarkEnd w:id="182"/>
    </w:p>
    <w:p w14:paraId="149A3EA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本合同终止后，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应在本合同终止之日起30日内共同确定投资文件、财务文件、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的价值，以及到终止合同日期为止</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应得到的所有款项。</w:t>
      </w:r>
    </w:p>
    <w:p w14:paraId="605E0FD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的原因导致合同终止的，在违约方按规定承担违约责任以后，按照已完成的合格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包干价的100%确定作为合同终止后的合同价款。</w:t>
      </w:r>
    </w:p>
    <w:p w14:paraId="6754004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的原因导致合同终止的，在按规定承担违约责任以后，按照已完成的合格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包干价的85%确定作为合同终止后的合同价款。</w:t>
      </w:r>
    </w:p>
    <w:p w14:paraId="474F931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3" w:name="_Toc354478302"/>
      <w:bookmarkStart w:id="184" w:name="_Toc354494057"/>
      <w:r>
        <w:rPr>
          <w:rFonts w:hint="eastAsia" w:ascii="宋体" w:hAnsi="宋体" w:eastAsia="宋体" w:cs="宋体"/>
          <w:b/>
          <w:bCs/>
          <w:snapToGrid w:val="0"/>
          <w:color w:val="auto"/>
          <w:kern w:val="2"/>
          <w:sz w:val="22"/>
          <w:szCs w:val="22"/>
          <w:highlight w:val="none"/>
          <w:lang w:val="en-US" w:eastAsia="zh-CN" w:bidi="ar-SA"/>
        </w:rPr>
        <w:t>13.4终止后的支付</w:t>
      </w:r>
      <w:bookmarkEnd w:id="183"/>
      <w:bookmarkEnd w:id="184"/>
    </w:p>
    <w:p w14:paraId="0690173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合同终止的，</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应在本合同终止日起并经审价后3个月内向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支付应得的所有款项。</w:t>
      </w:r>
    </w:p>
    <w:p w14:paraId="33F0B3EF">
      <w:pPr>
        <w:keepNext w:val="0"/>
        <w:keepLines w:val="0"/>
        <w:pageBreakBefore w:val="0"/>
        <w:widowControl w:val="0"/>
        <w:kinsoku/>
        <w:wordWrap/>
        <w:overflowPunct/>
        <w:topLinePunct w:val="0"/>
        <w:bidi w:val="0"/>
        <w:spacing w:before="0" w:after="0" w:line="400" w:lineRule="exact"/>
        <w:ind w:firstLine="480"/>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5" w:name="_Toc354478303"/>
      <w:bookmarkStart w:id="186" w:name="_Toc354494058"/>
      <w:r>
        <w:rPr>
          <w:rFonts w:hint="eastAsia" w:ascii="宋体" w:hAnsi="宋体" w:eastAsia="宋体" w:cs="宋体"/>
          <w:b/>
          <w:bCs/>
          <w:snapToGrid w:val="0"/>
          <w:color w:val="auto"/>
          <w:kern w:val="2"/>
          <w:sz w:val="22"/>
          <w:szCs w:val="22"/>
          <w:highlight w:val="none"/>
          <w:lang w:val="en-US" w:eastAsia="zh-CN" w:bidi="ar-SA"/>
        </w:rPr>
        <w:t>13.5合同的取消</w:t>
      </w:r>
      <w:bookmarkEnd w:id="185"/>
      <w:bookmarkEnd w:id="186"/>
    </w:p>
    <w:p w14:paraId="2B17E0C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如果一方违约，事先订立的而且在交付时仍然有效的任何设备采购合同、供货合同及所有其它合同应由违约方予以解除，违约方对因此而产生的任何解除费用负赔偿责任。</w:t>
      </w:r>
    </w:p>
    <w:p w14:paraId="2490EC3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7" w:name="_Toc354494059"/>
      <w:bookmarkStart w:id="188" w:name="_Toc354478304"/>
      <w:r>
        <w:rPr>
          <w:rFonts w:hint="eastAsia" w:ascii="宋体" w:hAnsi="宋体" w:eastAsia="宋体" w:cs="宋体"/>
          <w:b/>
          <w:bCs/>
          <w:snapToGrid w:val="0"/>
          <w:color w:val="auto"/>
          <w:kern w:val="2"/>
          <w:sz w:val="22"/>
          <w:szCs w:val="22"/>
          <w:highlight w:val="none"/>
          <w:lang w:val="en-US" w:eastAsia="zh-CN" w:bidi="ar-SA"/>
        </w:rPr>
        <w:t>13.6不可抗力及影响</w:t>
      </w:r>
      <w:bookmarkEnd w:id="187"/>
      <w:bookmarkEnd w:id="188"/>
    </w:p>
    <w:p w14:paraId="07FFB5E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任何一方由于出现不可抗力事件使该方未能全部或部分履行其本合同项下的义务时，如果该事件在签订本合同时是不能合理预见的，该事件的后果是不能克服和不能避免的，该方应有权中止履行本合同项下的义务。不可抗力应包括下列事件：</w:t>
      </w:r>
    </w:p>
    <w:p w14:paraId="0CA3869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（1）闪电、地震、地沉、地隆、山崩、飓风、风暴、火灾、海啸、泥石流、洪水、旱灾、陨石撞击和火山爆发，或其他天灾；</w:t>
      </w:r>
    </w:p>
    <w:p w14:paraId="0119FCA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（2）战争行为、入侵、武装冲突或外敌行为、封锁、暴乱、恐怖行为；</w:t>
      </w:r>
    </w:p>
    <w:p w14:paraId="50D5B06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（3）由于任何爆炸性核装置或其核部件的任何核燃料或核燃料燃烧后的核废物、放射性有毒炸药，或其他有害物质所引起的放射性污染；</w:t>
      </w:r>
    </w:p>
    <w:p w14:paraId="311CF00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（4）政府部门对项目或其任何部分实行的没收、征用、充公或国有化；</w:t>
      </w:r>
    </w:p>
    <w:p w14:paraId="73C8A7B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发生上款所述的不可抗力导致一方无法履行本项目合同项下的义务，该方有权中止履行。前述不可抗力只有在宣称受到不可抗力影响的一方在合同订立时不能在合理范围内预见到这种情况或不能在合理范围内避免或克服这种情况或其后果时才构成暂停权。宣称不可抗力情况的一方应在不可抗力情况不再存在后尽快恢复对其根据本合同所承担的义务的履行。</w:t>
      </w:r>
    </w:p>
    <w:p w14:paraId="6614061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9" w:name="_Toc354494060"/>
      <w:bookmarkStart w:id="190" w:name="_Toc354478305"/>
      <w:r>
        <w:rPr>
          <w:rFonts w:hint="eastAsia" w:ascii="宋体" w:hAnsi="宋体" w:eastAsia="宋体" w:cs="宋体"/>
          <w:b/>
          <w:bCs/>
          <w:snapToGrid w:val="0"/>
          <w:color w:val="auto"/>
          <w:kern w:val="2"/>
          <w:sz w:val="22"/>
          <w:szCs w:val="22"/>
          <w:highlight w:val="none"/>
          <w:lang w:val="en-US" w:eastAsia="zh-CN" w:bidi="ar-SA"/>
        </w:rPr>
        <w:t>13.7通知</w:t>
      </w:r>
      <w:bookmarkEnd w:id="189"/>
      <w:bookmarkEnd w:id="190"/>
    </w:p>
    <w:p w14:paraId="54A5D15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声称受到不可抗力情况影响的一方应在知道不可抗力之后立即以书面形式向另一方发出通知并说明这种不可抗力情况所造成影响的详细情况，包括这种不可抗力情况发生的日期和估计停止的日期及其对该方根据本合同所承担的义务的影响。</w:t>
      </w:r>
    </w:p>
    <w:p w14:paraId="7EE9D8F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1" w:name="_Toc354494061"/>
      <w:bookmarkStart w:id="192" w:name="_Toc354478306"/>
      <w:r>
        <w:rPr>
          <w:rFonts w:hint="eastAsia" w:ascii="宋体" w:hAnsi="宋体" w:eastAsia="宋体" w:cs="宋体"/>
          <w:b/>
          <w:bCs/>
          <w:snapToGrid w:val="0"/>
          <w:color w:val="auto"/>
          <w:kern w:val="2"/>
          <w:sz w:val="22"/>
          <w:szCs w:val="22"/>
          <w:highlight w:val="none"/>
          <w:lang w:val="en-US" w:eastAsia="zh-CN" w:bidi="ar-SA"/>
        </w:rPr>
        <w:t>13.8不可抗力造成的支出和延误</w:t>
      </w:r>
      <w:bookmarkEnd w:id="191"/>
      <w:bookmarkEnd w:id="192"/>
    </w:p>
    <w:p w14:paraId="7A5DE45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不可抗力事件结束后48小时内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通报受害情况和损失情况，及预计清理和修复的费用。不可抗力事件持续发生，</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应每隔7天向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报告一次受害情况。不可抗力事件结束后14天内，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提交清理和修复费用的正式报告及有关资料，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需要根据情况对其损失进行确认，对修复的费用待检测和修复方案确定后另行计算。因不可抗力事件导致的费用变更及</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延误由</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按以下方法分别承担：</w:t>
      </w:r>
    </w:p>
    <w:p w14:paraId="185BB77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本身的损害由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275BA1B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（2）受雇人员的伤害，分别按照各自的雇佣合同关系负责处理；</w:t>
      </w:r>
    </w:p>
    <w:p w14:paraId="10943E9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的机具、设备、财产和临时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内容的损失、损害，由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11F8DF95">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（4）因不可抗力事件导致的停工损失，包括</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人员、管理人员，除</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要求留守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场地的管理人员及保卫人员费用由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承担外，其余由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3EA456D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（5）不可抗力事件发生后，因一方迟延履行合同约定的保护义务导致的延续损失、损害，由迟延履行义务的一方承担相应责任及其损失；</w:t>
      </w:r>
    </w:p>
    <w:p w14:paraId="4374EB8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（6）如果声称遭受不可抗力影响的一方已履行了第13.7款的通知程序，本合同中规定的履行某项义务的任何期限应根据不可抗力对履行该项义务产生影响的相同时间相应顺延。</w:t>
      </w:r>
    </w:p>
    <w:p w14:paraId="15A168D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3" w:name="_Toc345359035"/>
      <w:bookmarkStart w:id="194" w:name="_Toc354494062"/>
      <w:bookmarkStart w:id="195" w:name="_Toc354478307"/>
      <w:bookmarkStart w:id="196" w:name="_Toc345358561"/>
      <w:r>
        <w:rPr>
          <w:rFonts w:hint="eastAsia" w:ascii="宋体" w:hAnsi="宋体" w:eastAsia="宋体" w:cs="宋体"/>
          <w:b/>
          <w:bCs/>
          <w:snapToGrid w:val="0"/>
          <w:color w:val="auto"/>
          <w:kern w:val="2"/>
          <w:sz w:val="22"/>
          <w:szCs w:val="22"/>
          <w:highlight w:val="none"/>
          <w:lang w:val="en-US" w:eastAsia="zh-CN" w:bidi="ar-SA"/>
        </w:rPr>
        <w:t>13.9不可抗力造成的终止</w:t>
      </w:r>
      <w:bookmarkEnd w:id="193"/>
      <w:bookmarkEnd w:id="194"/>
      <w:bookmarkEnd w:id="195"/>
      <w:bookmarkEnd w:id="196"/>
    </w:p>
    <w:p w14:paraId="29D5163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如果任何不可抗力阻止一方履行其义务的时间自该不可抗力发生日起连续超过90日，</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应协商决定继续履行本合同的条件或者同意终止本合同。如果自不可抗力发生后180天之内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不能就继续履行的条件或终止本合同达成一致意见，任何一方有权给予另一方书面通知后终止本合同。</w:t>
      </w:r>
    </w:p>
    <w:p w14:paraId="499BE5C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97" w:name="_Toc359839855"/>
      <w:bookmarkStart w:id="198" w:name="_Toc359838545"/>
      <w:bookmarkStart w:id="199" w:name="_Toc359839714"/>
      <w:bookmarkStart w:id="200" w:name="_Toc354478024"/>
      <w:bookmarkStart w:id="201" w:name="_Toc354478308"/>
      <w:bookmarkStart w:id="202" w:name="_Toc359839326"/>
      <w:bookmarkStart w:id="203" w:name="_Toc354494063"/>
      <w:r>
        <w:rPr>
          <w:rFonts w:hint="eastAsia" w:ascii="宋体" w:hAnsi="宋体" w:eastAsia="宋体" w:cs="宋体"/>
          <w:b/>
          <w:snapToGrid w:val="0"/>
          <w:color w:val="auto"/>
          <w:kern w:val="2"/>
          <w:sz w:val="22"/>
          <w:szCs w:val="22"/>
          <w:highlight w:val="none"/>
          <w:lang w:val="en-US" w:eastAsia="zh-CN" w:bidi="ar-SA"/>
        </w:rPr>
        <w:t>争议的解决</w:t>
      </w:r>
      <w:bookmarkEnd w:id="197"/>
      <w:bookmarkEnd w:id="198"/>
      <w:bookmarkEnd w:id="199"/>
      <w:bookmarkEnd w:id="200"/>
      <w:bookmarkEnd w:id="201"/>
      <w:bookmarkEnd w:id="202"/>
      <w:bookmarkEnd w:id="203"/>
    </w:p>
    <w:p w14:paraId="308A2BD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4" w:name="_Toc354478309"/>
      <w:bookmarkStart w:id="205" w:name="_Toc345359052"/>
      <w:bookmarkStart w:id="206" w:name="_Toc354494064"/>
      <w:bookmarkStart w:id="207" w:name="_Toc345358578"/>
      <w:r>
        <w:rPr>
          <w:rFonts w:hint="eastAsia" w:ascii="宋体" w:hAnsi="宋体" w:eastAsia="宋体" w:cs="宋体"/>
          <w:b/>
          <w:bCs/>
          <w:snapToGrid w:val="0"/>
          <w:color w:val="auto"/>
          <w:kern w:val="2"/>
          <w:sz w:val="22"/>
          <w:szCs w:val="22"/>
          <w:highlight w:val="none"/>
          <w:lang w:val="en-US" w:eastAsia="zh-CN" w:bidi="ar-SA"/>
        </w:rPr>
        <w:t>14.1不可分割性</w:t>
      </w:r>
      <w:bookmarkEnd w:id="204"/>
      <w:bookmarkEnd w:id="205"/>
      <w:bookmarkEnd w:id="206"/>
      <w:bookmarkEnd w:id="207"/>
    </w:p>
    <w:p w14:paraId="3975BA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如果本合同其中某一条款不合法、无效或不能执行，或者被任何有管辖权的仲裁庭或法院宣布为不合法、无效或不能执行，则：</w:t>
      </w:r>
    </w:p>
    <w:p w14:paraId="650C40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（1）其它部分仍应保持有效；</w:t>
      </w:r>
    </w:p>
    <w:p w14:paraId="2388C64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应商定对不合法、无效或不能执行的条款进行修改或更换，使之合法、有效并可执行，并且这些修改或更改应尽可能平衡</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之间的利益。</w:t>
      </w:r>
    </w:p>
    <w:p w14:paraId="512A6DC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8" w:name="_Toc354494065"/>
      <w:bookmarkStart w:id="209" w:name="_Toc345358579"/>
      <w:bookmarkStart w:id="210" w:name="_Toc345359053"/>
      <w:bookmarkStart w:id="211" w:name="_Toc354478310"/>
      <w:r>
        <w:rPr>
          <w:rFonts w:hint="eastAsia" w:ascii="宋体" w:hAnsi="宋体" w:eastAsia="宋体" w:cs="宋体"/>
          <w:b/>
          <w:bCs/>
          <w:snapToGrid w:val="0"/>
          <w:color w:val="auto"/>
          <w:kern w:val="2"/>
          <w:sz w:val="22"/>
          <w:szCs w:val="22"/>
          <w:highlight w:val="none"/>
          <w:lang w:val="en-US" w:eastAsia="zh-CN" w:bidi="ar-SA"/>
        </w:rPr>
        <w:t>14.2定期讨论</w:t>
      </w:r>
      <w:bookmarkEnd w:id="208"/>
      <w:bookmarkEnd w:id="209"/>
      <w:bookmarkEnd w:id="210"/>
      <w:bookmarkEnd w:id="211"/>
    </w:p>
    <w:p w14:paraId="3FB4605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在本合同履行期间，</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应定期举行会议，原则上每月一次，以讨论</w:t>
      </w:r>
      <w:r>
        <w:rPr>
          <w:rFonts w:hint="eastAsia" w:ascii="宋体" w:hAnsi="宋体" w:cs="宋体"/>
          <w:color w:val="auto"/>
          <w:sz w:val="22"/>
          <w:szCs w:val="22"/>
          <w:highlight w:val="none"/>
          <w:lang w:val="en-US" w:eastAsia="zh-CN"/>
        </w:rPr>
        <w:t>项目</w:t>
      </w:r>
      <w:r>
        <w:rPr>
          <w:rFonts w:hint="eastAsia" w:ascii="宋体" w:hAnsi="宋体" w:eastAsia="宋体" w:cs="宋体"/>
          <w:color w:val="auto"/>
          <w:sz w:val="22"/>
          <w:szCs w:val="22"/>
          <w:highlight w:val="none"/>
        </w:rPr>
        <w:t>工作的进度，从而确保本合同的充分履行。</w:t>
      </w:r>
    </w:p>
    <w:p w14:paraId="48029ED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12" w:name="_Toc354478311"/>
      <w:bookmarkStart w:id="213" w:name="_Toc345358580"/>
      <w:bookmarkStart w:id="214" w:name="_Toc354494066"/>
      <w:bookmarkStart w:id="215" w:name="_Toc345359054"/>
      <w:r>
        <w:rPr>
          <w:rFonts w:hint="eastAsia" w:ascii="宋体" w:hAnsi="宋体" w:eastAsia="宋体" w:cs="宋体"/>
          <w:b/>
          <w:bCs/>
          <w:snapToGrid w:val="0"/>
          <w:color w:val="auto"/>
          <w:kern w:val="2"/>
          <w:sz w:val="22"/>
          <w:szCs w:val="22"/>
          <w:highlight w:val="none"/>
          <w:lang w:val="en-US" w:eastAsia="zh-CN" w:bidi="ar-SA"/>
        </w:rPr>
        <w:t>14.3友好解决</w:t>
      </w:r>
      <w:bookmarkEnd w:id="212"/>
      <w:bookmarkEnd w:id="213"/>
      <w:bookmarkEnd w:id="214"/>
      <w:bookmarkEnd w:id="215"/>
    </w:p>
    <w:p w14:paraId="2B5E3B0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除非本合同另有规定，一方无论何时要求另一方给予同意或批准时，另一方不得无理拒绝或拖延给予该同意或批准；前提是该同意或批准符合本合同条款精神或法律法规。</w:t>
      </w:r>
    </w:p>
    <w:p w14:paraId="7D64723C">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由于本合同的履行或对其中任何规定的解释而出现任何争议或索赔，一方应根据另一方提出的要求迅速举行会晤，通过友好协商解决争议或索赔。</w:t>
      </w:r>
    </w:p>
    <w:p w14:paraId="064D67B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14.4诉讼</w:t>
      </w:r>
    </w:p>
    <w:p w14:paraId="37D6625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如果争议在首次要求协商之日起42天内未能通过友好协商予以解决，则可在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所在地通过诉讼解决。</w:t>
      </w:r>
    </w:p>
    <w:p w14:paraId="66B2AB4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14.5继续的权利和义务</w:t>
      </w:r>
    </w:p>
    <w:p w14:paraId="213459E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在对争议进行友好协商或</w:t>
      </w:r>
      <w:r>
        <w:rPr>
          <w:rFonts w:hint="eastAsia" w:ascii="宋体" w:hAnsi="宋体" w:eastAsia="宋体" w:cs="宋体"/>
          <w:snapToGrid w:val="0"/>
          <w:color w:val="auto"/>
          <w:sz w:val="22"/>
          <w:szCs w:val="22"/>
          <w:highlight w:val="none"/>
        </w:rPr>
        <w:t>诉讼</w:t>
      </w:r>
      <w:r>
        <w:rPr>
          <w:rFonts w:hint="eastAsia" w:ascii="宋体" w:hAnsi="宋体" w:eastAsia="宋体" w:cs="宋体"/>
          <w:color w:val="auto"/>
          <w:sz w:val="22"/>
          <w:szCs w:val="22"/>
          <w:highlight w:val="none"/>
        </w:rPr>
        <w:t>时，除争议的事项外，</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应继续行使、履行各自在本合同项下的其他权利、义务。</w:t>
      </w:r>
    </w:p>
    <w:p w14:paraId="201BF7B1">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6" w:name="_Toc354478315"/>
      <w:bookmarkStart w:id="217" w:name="_Toc359839856"/>
      <w:bookmarkStart w:id="218" w:name="_Toc354478025"/>
      <w:bookmarkStart w:id="219" w:name="_Toc354494070"/>
      <w:bookmarkStart w:id="220" w:name="_Toc359839327"/>
      <w:bookmarkStart w:id="221" w:name="_Toc359839715"/>
      <w:bookmarkStart w:id="222" w:name="_Toc359838546"/>
      <w:r>
        <w:rPr>
          <w:rFonts w:hint="eastAsia" w:ascii="宋体" w:hAnsi="宋体" w:eastAsia="宋体" w:cs="宋体"/>
          <w:b/>
          <w:snapToGrid w:val="0"/>
          <w:color w:val="auto"/>
          <w:kern w:val="2"/>
          <w:sz w:val="22"/>
          <w:szCs w:val="22"/>
          <w:highlight w:val="none"/>
          <w:lang w:val="en-US" w:eastAsia="zh-CN" w:bidi="ar-SA"/>
        </w:rPr>
        <w:t>风险划分</w:t>
      </w:r>
      <w:bookmarkEnd w:id="216"/>
      <w:bookmarkEnd w:id="217"/>
      <w:bookmarkEnd w:id="218"/>
      <w:bookmarkEnd w:id="219"/>
      <w:bookmarkEnd w:id="220"/>
      <w:bookmarkEnd w:id="221"/>
      <w:bookmarkEnd w:id="222"/>
    </w:p>
    <w:p w14:paraId="16C92E9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除另有明确约定外，在本项目交付给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之前，因本项目所产生的风险，由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承担。若风险在交付之前发生或虽然在交付之前未发生但隐含在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中而致使交付之后发生，给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造成损害的，则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应连带向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进行赔偿。</w:t>
      </w:r>
    </w:p>
    <w:p w14:paraId="27AE7E9E">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23" w:name="_Toc359838547"/>
      <w:bookmarkStart w:id="224" w:name="_Toc354478316"/>
      <w:bookmarkStart w:id="225" w:name="_Toc359839857"/>
      <w:bookmarkStart w:id="226" w:name="_Toc354478026"/>
      <w:bookmarkStart w:id="227" w:name="_Toc359839716"/>
      <w:bookmarkStart w:id="228" w:name="_Toc354494071"/>
      <w:bookmarkStart w:id="229" w:name="_Toc359839328"/>
      <w:r>
        <w:rPr>
          <w:rFonts w:hint="eastAsia" w:ascii="宋体" w:hAnsi="宋体" w:eastAsia="宋体" w:cs="宋体"/>
          <w:b/>
          <w:snapToGrid w:val="0"/>
          <w:color w:val="auto"/>
          <w:kern w:val="2"/>
          <w:sz w:val="22"/>
          <w:szCs w:val="22"/>
          <w:highlight w:val="none"/>
          <w:lang w:val="en-US" w:eastAsia="zh-CN" w:bidi="ar-SA"/>
        </w:rPr>
        <w:t>协议变更、补充和解除</w:t>
      </w:r>
      <w:bookmarkEnd w:id="223"/>
      <w:bookmarkEnd w:id="224"/>
      <w:bookmarkEnd w:id="225"/>
      <w:bookmarkEnd w:id="226"/>
      <w:bookmarkEnd w:id="227"/>
      <w:bookmarkEnd w:id="228"/>
      <w:bookmarkEnd w:id="229"/>
    </w:p>
    <w:p w14:paraId="1352814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对本合同的任何变更、增补或改动，只有在形成文字并经</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经授权的代表签署后方为有效和具有约束力。</w:t>
      </w:r>
    </w:p>
    <w:p w14:paraId="014C2E7B">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30" w:name="_Toc354494072"/>
      <w:bookmarkStart w:id="231" w:name="_Toc359839717"/>
      <w:bookmarkStart w:id="232" w:name="_Toc359839858"/>
      <w:bookmarkStart w:id="233" w:name="_Toc354478317"/>
      <w:bookmarkStart w:id="234" w:name="_Toc359839329"/>
      <w:bookmarkStart w:id="235" w:name="_Toc354478027"/>
      <w:bookmarkStart w:id="236" w:name="_Toc359838548"/>
      <w:r>
        <w:rPr>
          <w:rFonts w:hint="eastAsia" w:ascii="宋体" w:hAnsi="宋体" w:eastAsia="宋体" w:cs="宋体"/>
          <w:b/>
          <w:snapToGrid w:val="0"/>
          <w:color w:val="auto"/>
          <w:kern w:val="2"/>
          <w:sz w:val="22"/>
          <w:szCs w:val="22"/>
          <w:highlight w:val="none"/>
          <w:lang w:val="en-US" w:eastAsia="zh-CN" w:bidi="ar-SA"/>
        </w:rPr>
        <w:t>适用法律及其它</w:t>
      </w:r>
      <w:bookmarkEnd w:id="230"/>
      <w:bookmarkEnd w:id="231"/>
      <w:bookmarkEnd w:id="232"/>
      <w:bookmarkEnd w:id="233"/>
      <w:bookmarkEnd w:id="234"/>
      <w:bookmarkEnd w:id="235"/>
      <w:bookmarkEnd w:id="236"/>
    </w:p>
    <w:p w14:paraId="790E695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7" w:name="_Toc354478318"/>
      <w:bookmarkStart w:id="238" w:name="_Toc354494073"/>
      <w:r>
        <w:rPr>
          <w:rFonts w:hint="eastAsia" w:ascii="宋体" w:hAnsi="宋体" w:eastAsia="宋体" w:cs="宋体"/>
          <w:b/>
          <w:bCs/>
          <w:snapToGrid w:val="0"/>
          <w:color w:val="auto"/>
          <w:kern w:val="2"/>
          <w:sz w:val="22"/>
          <w:szCs w:val="22"/>
          <w:highlight w:val="none"/>
          <w:lang w:val="en-US" w:eastAsia="zh-CN" w:bidi="ar-SA"/>
        </w:rPr>
        <w:t>17.1适用法律</w:t>
      </w:r>
      <w:bookmarkEnd w:id="237"/>
      <w:bookmarkEnd w:id="238"/>
    </w:p>
    <w:p w14:paraId="30AEA9C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17.1.1</w:t>
      </w:r>
      <w:r>
        <w:rPr>
          <w:rFonts w:hint="eastAsia" w:ascii="宋体" w:hAnsi="宋体" w:eastAsia="宋体" w:cs="宋体"/>
          <w:color w:val="auto"/>
          <w:sz w:val="22"/>
          <w:szCs w:val="22"/>
          <w:highlight w:val="none"/>
        </w:rPr>
        <w:t>适用法律</w:t>
      </w:r>
    </w:p>
    <w:p w14:paraId="54C1AE6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本合同的效力、解释及执行均应适用中央和地方各级机构最新颁布的法律、法规以及政府有关部门对行业管理的统一规定。</w:t>
      </w:r>
    </w:p>
    <w:p w14:paraId="6010159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17.1.2</w:t>
      </w:r>
      <w:r>
        <w:rPr>
          <w:rFonts w:hint="eastAsia" w:ascii="宋体" w:hAnsi="宋体" w:eastAsia="宋体" w:cs="宋体"/>
          <w:color w:val="auto"/>
          <w:sz w:val="22"/>
          <w:szCs w:val="22"/>
          <w:highlight w:val="none"/>
        </w:rPr>
        <w:t>优惠待遇</w:t>
      </w:r>
    </w:p>
    <w:p w14:paraId="2D33D60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根据法律，</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有权享有在签订本合同后出现的或被公众知晓的比本合同规定的更优惠的税收、投资优惠或其它利益。</w:t>
      </w:r>
    </w:p>
    <w:p w14:paraId="480869E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9" w:name="_Toc354478319"/>
      <w:bookmarkStart w:id="240" w:name="_Toc354494074"/>
      <w:r>
        <w:rPr>
          <w:rFonts w:hint="eastAsia" w:ascii="宋体" w:hAnsi="宋体" w:eastAsia="宋体" w:cs="宋体"/>
          <w:b/>
          <w:bCs/>
          <w:snapToGrid w:val="0"/>
          <w:color w:val="auto"/>
          <w:kern w:val="2"/>
          <w:sz w:val="22"/>
          <w:szCs w:val="22"/>
          <w:highlight w:val="none"/>
          <w:lang w:val="en-US" w:eastAsia="zh-CN" w:bidi="ar-SA"/>
        </w:rPr>
        <w:t>17.2资料和保密</w:t>
      </w:r>
      <w:bookmarkEnd w:id="239"/>
      <w:bookmarkEnd w:id="240"/>
    </w:p>
    <w:p w14:paraId="6A24388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17.2.1</w:t>
      </w:r>
      <w:r>
        <w:rPr>
          <w:rFonts w:hint="eastAsia" w:ascii="宋体" w:hAnsi="宋体" w:eastAsia="宋体" w:cs="宋体"/>
          <w:color w:val="auto"/>
          <w:sz w:val="22"/>
          <w:szCs w:val="22"/>
          <w:highlight w:val="none"/>
        </w:rPr>
        <w:t>对资料的权利</w:t>
      </w:r>
    </w:p>
    <w:p w14:paraId="443234A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提供的资料，或主要以此为基础开发的资料，包括文件、计算机程序和其它存储在任何媒介上的资料，均视为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的财产。</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应不为本项目之外的目的使用上述资料，并且应在项目交付时将上述资料返还给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70B03D1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241" w:name="_Toc354478320"/>
      <w:bookmarkStart w:id="242" w:name="_Toc354494075"/>
      <w:r>
        <w:rPr>
          <w:rFonts w:hint="eastAsia" w:ascii="宋体" w:hAnsi="宋体" w:eastAsia="宋体" w:cs="宋体"/>
          <w:b/>
          <w:color w:val="auto"/>
          <w:sz w:val="22"/>
          <w:szCs w:val="22"/>
          <w:highlight w:val="none"/>
        </w:rPr>
        <w:t>17.2.2</w:t>
      </w:r>
      <w:r>
        <w:rPr>
          <w:rFonts w:hint="eastAsia" w:ascii="宋体" w:hAnsi="宋体" w:eastAsia="宋体" w:cs="宋体"/>
          <w:color w:val="auto"/>
          <w:sz w:val="22"/>
          <w:szCs w:val="22"/>
          <w:highlight w:val="none"/>
        </w:rPr>
        <w:t>保密性</w:t>
      </w:r>
      <w:bookmarkEnd w:id="241"/>
      <w:bookmarkEnd w:id="242"/>
    </w:p>
    <w:p w14:paraId="074DC2A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应对本合同的内容和项目的所有信息及文件保密。未经对方同意，不得向任何人或单位披露或者泄露本合同和本项目所包含或涉及的任何内容，但以下情形除外：</w:t>
      </w:r>
    </w:p>
    <w:p w14:paraId="5B1EE88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(1)对各方负有保密义务一方向执行本合同相关职责及事项的职员、法律顾问的披露；</w:t>
      </w:r>
    </w:p>
    <w:p w14:paraId="3678191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(2)向根据法律规定有权了解本协议内容的司法、行政机关的披露；</w:t>
      </w:r>
    </w:p>
    <w:p w14:paraId="5E62CB8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(3)为满足本合同的生效条件而向有关部门或人员所作的披露；</w:t>
      </w:r>
    </w:p>
    <w:p w14:paraId="4AEE8ED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均同意的披露。</w:t>
      </w:r>
    </w:p>
    <w:p w14:paraId="5F45B45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依据上述所作透露时，透露方应该提示接受方履行保密义务。</w:t>
      </w:r>
    </w:p>
    <w:p w14:paraId="646DD40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3" w:name="_Toc354494076"/>
      <w:bookmarkStart w:id="244" w:name="_Toc354478321"/>
      <w:r>
        <w:rPr>
          <w:rFonts w:hint="eastAsia" w:ascii="宋体" w:hAnsi="宋体" w:eastAsia="宋体" w:cs="宋体"/>
          <w:b/>
          <w:bCs/>
          <w:snapToGrid w:val="0"/>
          <w:color w:val="auto"/>
          <w:kern w:val="2"/>
          <w:sz w:val="22"/>
          <w:szCs w:val="22"/>
          <w:highlight w:val="none"/>
          <w:lang w:val="en-US" w:eastAsia="zh-CN" w:bidi="ar-SA"/>
        </w:rPr>
        <w:t>17.3知识产权</w:t>
      </w:r>
      <w:bookmarkEnd w:id="243"/>
      <w:bookmarkEnd w:id="244"/>
    </w:p>
    <w:p w14:paraId="4E702A72">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17.3.1</w:t>
      </w:r>
      <w:r>
        <w:rPr>
          <w:rFonts w:hint="eastAsia" w:ascii="宋体" w:hAnsi="宋体" w:eastAsia="宋体" w:cs="宋体"/>
          <w:color w:val="auto"/>
          <w:sz w:val="22"/>
          <w:szCs w:val="22"/>
          <w:highlight w:val="none"/>
        </w:rPr>
        <w:t>因执行本合同所产生和形成的知识产权归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所有。本合同所称的知识产权包括（但不限于）：著作权、专利权、商标权、专有技术、技术资料、标识、字号、名称及形象设计等，不管以文字、图案或混合，亦不管以书面或电子及其他形式作为载体而体现。</w:t>
      </w:r>
    </w:p>
    <w:p w14:paraId="41B0DF8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在此保证，为本项目的目的所产生的知识产权，不管是</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单独或共同合作产生，也不管是否有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的相应的协助，其权利均归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并应提供与之有关的所有信息、资料、文件。未经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书面许可，不能用作本项目之外的用途。</w:t>
      </w:r>
    </w:p>
    <w:p w14:paraId="33894131">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在此进一步保证，在完成本项目过程中，将不会侵犯他人的知识产权。</w:t>
      </w:r>
    </w:p>
    <w:p w14:paraId="63FFB9AE">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为完成本项目工作而侵犯他人的知识产权的，不管是在本项目实施过程中还是交付给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以后，责任均由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承担。因此而给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造成损失的，由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承担连带赔偿责任。</w:t>
      </w:r>
    </w:p>
    <w:p w14:paraId="591C9D1A">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17.3.4</w:t>
      </w:r>
      <w:r>
        <w:rPr>
          <w:rFonts w:hint="eastAsia" w:ascii="宋体" w:hAnsi="宋体" w:eastAsia="宋体" w:cs="宋体"/>
          <w:color w:val="auto"/>
          <w:sz w:val="22"/>
          <w:szCs w:val="22"/>
          <w:highlight w:val="none"/>
        </w:rPr>
        <w:t>本条约定在本合同终止后仍然有效。</w:t>
      </w:r>
    </w:p>
    <w:p w14:paraId="085385C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5" w:name="_Toc354494077"/>
      <w:bookmarkStart w:id="246" w:name="_Toc354478322"/>
      <w:r>
        <w:rPr>
          <w:rFonts w:hint="eastAsia" w:ascii="宋体" w:hAnsi="宋体" w:eastAsia="宋体" w:cs="宋体"/>
          <w:b/>
          <w:bCs/>
          <w:snapToGrid w:val="0"/>
          <w:color w:val="auto"/>
          <w:kern w:val="2"/>
          <w:sz w:val="22"/>
          <w:szCs w:val="22"/>
          <w:highlight w:val="none"/>
          <w:lang w:val="en-US" w:eastAsia="zh-CN" w:bidi="ar-SA"/>
        </w:rPr>
        <w:t>17.4不正当报酬的声明</w:t>
      </w:r>
      <w:bookmarkEnd w:id="245"/>
      <w:bookmarkEnd w:id="246"/>
    </w:p>
    <w:p w14:paraId="302DDEB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一致声明：反对关于项目的行贿、受贿及不合法的行为。</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都不会为项目提供或接受任何不合法的报酬，提供或接受不当的服务。</w:t>
      </w:r>
    </w:p>
    <w:p w14:paraId="27AB403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7" w:name="_Toc354494078"/>
      <w:bookmarkStart w:id="248" w:name="_Toc354478323"/>
      <w:r>
        <w:rPr>
          <w:rFonts w:hint="eastAsia" w:ascii="宋体" w:hAnsi="宋体" w:eastAsia="宋体" w:cs="宋体"/>
          <w:b/>
          <w:bCs/>
          <w:snapToGrid w:val="0"/>
          <w:color w:val="auto"/>
          <w:kern w:val="2"/>
          <w:sz w:val="22"/>
          <w:szCs w:val="22"/>
          <w:highlight w:val="none"/>
          <w:lang w:val="en-US" w:eastAsia="zh-CN" w:bidi="ar-SA"/>
        </w:rPr>
        <w:t>17.5其它条款</w:t>
      </w:r>
      <w:bookmarkEnd w:id="247"/>
      <w:bookmarkEnd w:id="248"/>
    </w:p>
    <w:p w14:paraId="3F35E619">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17.5.1</w:t>
      </w:r>
      <w:r>
        <w:rPr>
          <w:rFonts w:hint="eastAsia" w:ascii="宋体" w:hAnsi="宋体" w:eastAsia="宋体" w:cs="宋体"/>
          <w:color w:val="auto"/>
          <w:sz w:val="22"/>
          <w:szCs w:val="22"/>
          <w:highlight w:val="none"/>
        </w:rPr>
        <w:t>在中国法律、法规允许的范围内，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对于本合同项下权利的未行使或延误行使不应视为对该权利的放弃，而且对该权利的单独或部分行使也不能阻止任何未来对该权利的行使。</w:t>
      </w:r>
    </w:p>
    <w:p w14:paraId="316A4706">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17.5.2</w:t>
      </w:r>
      <w:r>
        <w:rPr>
          <w:rFonts w:hint="eastAsia" w:ascii="宋体" w:hAnsi="宋体" w:eastAsia="宋体" w:cs="宋体"/>
          <w:color w:val="auto"/>
          <w:sz w:val="22"/>
          <w:szCs w:val="22"/>
          <w:highlight w:val="none"/>
        </w:rPr>
        <w:t>独立性</w:t>
      </w:r>
    </w:p>
    <w:p w14:paraId="480C63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本合同某一条款的无效，如果对本合同的履行或合同目的的实现没有实质性影响，则本合同其他条款继续有效。</w:t>
      </w:r>
    </w:p>
    <w:p w14:paraId="39E74B5E">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17.5.3</w:t>
      </w:r>
      <w:r>
        <w:rPr>
          <w:rFonts w:hint="eastAsia" w:ascii="宋体" w:hAnsi="宋体" w:eastAsia="宋体" w:cs="宋体"/>
          <w:color w:val="auto"/>
          <w:sz w:val="22"/>
          <w:szCs w:val="22"/>
          <w:highlight w:val="none"/>
        </w:rPr>
        <w:t>通知</w:t>
      </w:r>
    </w:p>
    <w:p w14:paraId="7EAEC822">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合同规定由一方向另一方或两方发送的要约、记录或通知及文件均应采用书面形式，包括信件、传真、电子邮件、电报或电挂。若任何一方的地址或者其他信息（包括，但不限，收件人以及传真和邮箱，等）发生了变化，应事先书面通知另一方。</w:t>
      </w:r>
    </w:p>
    <w:p w14:paraId="2CD2513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49" w:name="_Toc359839718"/>
      <w:bookmarkStart w:id="250" w:name="_Toc359839330"/>
      <w:bookmarkStart w:id="251" w:name="_Toc359839859"/>
      <w:bookmarkStart w:id="252" w:name="_Toc359838549"/>
      <w:r>
        <w:rPr>
          <w:rFonts w:hint="eastAsia" w:ascii="宋体" w:hAnsi="宋体" w:eastAsia="宋体" w:cs="宋体"/>
          <w:b/>
          <w:snapToGrid w:val="0"/>
          <w:color w:val="auto"/>
          <w:kern w:val="2"/>
          <w:sz w:val="22"/>
          <w:szCs w:val="22"/>
          <w:highlight w:val="none"/>
          <w:lang w:val="en-US" w:eastAsia="zh-CN" w:bidi="ar-SA"/>
        </w:rPr>
        <w:t>通讯联络</w:t>
      </w:r>
      <w:bookmarkEnd w:id="249"/>
      <w:bookmarkEnd w:id="250"/>
      <w:bookmarkEnd w:id="251"/>
      <w:bookmarkEnd w:id="252"/>
    </w:p>
    <w:p w14:paraId="485E36BD">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18.1</w:t>
      </w:r>
      <w:r>
        <w:rPr>
          <w:rFonts w:hint="eastAsia" w:ascii="宋体" w:hAnsi="宋体" w:eastAsia="宋体" w:cs="宋体"/>
          <w:color w:val="auto"/>
          <w:sz w:val="22"/>
          <w:szCs w:val="22"/>
          <w:highlight w:val="none"/>
        </w:rPr>
        <w:t>无论何处述及由任何人发出或颁布的任何通知、指示、同意、批准、证明或决定，除另有说明者外，此类通讯联络均应为书面的，且不得无故扣押或拖延。</w:t>
      </w:r>
    </w:p>
    <w:p w14:paraId="23A5D403">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18.2</w:t>
      </w:r>
      <w:r>
        <w:rPr>
          <w:rFonts w:hint="eastAsia" w:ascii="宋体" w:hAnsi="宋体" w:eastAsia="宋体" w:cs="宋体"/>
          <w:color w:val="auto"/>
          <w:sz w:val="22"/>
          <w:szCs w:val="22"/>
          <w:highlight w:val="none"/>
        </w:rPr>
        <w:t>无论何处述及的通讯联络应为“书写的”或“书面的”，这指的是任何手写，打字或印刷的通讯联络，包括合同中所商定的电子传送系统。</w:t>
      </w:r>
    </w:p>
    <w:p w14:paraId="401A52F0">
      <w:pPr>
        <w:keepNext w:val="0"/>
        <w:keepLines w:val="0"/>
        <w:pageBreakBefore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18.3</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的以及由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的全部文件，应由人工送达并取得书面的收据证明，或由一种商定的电子传送系统发送。此类通讯联络的接收地址如下：</w:t>
      </w:r>
    </w:p>
    <w:p w14:paraId="6619720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3A3639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199BA11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28CB5368">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5FD4F93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5E038F47">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（联合体牵头方）：</w:t>
      </w:r>
    </w:p>
    <w:p w14:paraId="7B88B04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94C3BF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EE7E634">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38D18C31">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p>
    <w:p w14:paraId="66E8E43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715FC9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1E02005D">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p>
    <w:p w14:paraId="575EA743">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7D39C0BB">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19E17A6">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65C67926">
      <w:pPr>
        <w:pStyle w:val="38"/>
        <w:keepNext w:val="0"/>
        <w:keepLines w:val="0"/>
        <w:pageBreakBefore w:val="0"/>
        <w:widowControl w:val="0"/>
        <w:kinsoku/>
        <w:wordWrap/>
        <w:overflowPunct/>
        <w:topLinePunct w:val="0"/>
        <w:bidi w:val="0"/>
        <w:spacing w:line="400" w:lineRule="exact"/>
        <w:ind w:firstLine="426"/>
        <w:textAlignment w:val="auto"/>
        <w:rPr>
          <w:rFonts w:hint="eastAsia" w:ascii="宋体" w:hAnsi="宋体" w:eastAsia="宋体" w:cs="宋体"/>
          <w:color w:val="auto"/>
          <w:sz w:val="22"/>
          <w:szCs w:val="20"/>
          <w:highlight w:val="none"/>
          <w:lang w:val="en-US" w:eastAsia="zh-CN"/>
        </w:rPr>
      </w:pPr>
    </w:p>
    <w:p w14:paraId="34226FB9">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（1）通知在如下情况下被视为已经送达：</w:t>
      </w:r>
    </w:p>
    <w:p w14:paraId="480926CA">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A.如果是采用信函方式，则当信函通过当面交付、快递或邮寄(挂号信，要求收讫回执)交付至上述地址时；</w:t>
      </w:r>
    </w:p>
    <w:p w14:paraId="3AC4767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B.如果采用传真方式，则当收传真方已经实际收到完整并可以识别的传真之时；</w:t>
      </w:r>
    </w:p>
    <w:p w14:paraId="2DD74BF0">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C.如果采用电子邮件方式，则当对方实际看到电子邮件并进行口头确认收到时。</w:t>
      </w:r>
    </w:p>
    <w:p w14:paraId="634E3C3F">
      <w:pPr>
        <w:keepNext w:val="0"/>
        <w:keepLines w:val="0"/>
        <w:pageBreakBefore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2"/>
          <w:szCs w:val="22"/>
          <w:highlight w:val="none"/>
        </w:rPr>
        <w:t>（2）如果</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对上述通讯联络的接收地址作出任何细节改动，应在采用该改动之前以书面形式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通知对方。</w:t>
      </w:r>
    </w:p>
    <w:p w14:paraId="7C6391A3">
      <w:pPr>
        <w:keepNext w:val="0"/>
        <w:keepLines w:val="0"/>
        <w:pageBreakBefore w:val="0"/>
        <w:kinsoku/>
        <w:wordWrap/>
        <w:overflowPunct/>
        <w:topLinePunct w:val="0"/>
        <w:bidi w:val="0"/>
        <w:spacing w:line="400" w:lineRule="exact"/>
        <w:ind w:firstLine="440" w:firstLineChars="200"/>
        <w:jc w:val="left"/>
        <w:textAlignment w:val="auto"/>
        <w:rPr>
          <w:rFonts w:hint="eastAsia" w:ascii="宋体" w:hAnsi="宋体" w:eastAsia="宋体" w:cs="宋体"/>
          <w:color w:val="auto"/>
          <w:szCs w:val="24"/>
          <w:highlight w:val="none"/>
        </w:rPr>
      </w:pPr>
      <w:r>
        <w:rPr>
          <w:rFonts w:hint="eastAsia" w:ascii="宋体" w:hAnsi="宋体" w:eastAsia="宋体" w:cs="宋体"/>
          <w:color w:val="auto"/>
          <w:sz w:val="22"/>
          <w:szCs w:val="22"/>
          <w:highlight w:val="none"/>
          <w:u w:val="none"/>
        </w:rPr>
        <w:t>注：</w:t>
      </w:r>
      <w:r>
        <w:rPr>
          <w:rFonts w:hint="eastAsia" w:ascii="宋体" w:hAnsi="宋体" w:eastAsia="宋体" w:cs="宋体"/>
          <w:color w:val="auto"/>
          <w:sz w:val="22"/>
          <w:szCs w:val="22"/>
          <w:highlight w:val="none"/>
          <w:u w:val="single"/>
        </w:rPr>
        <w:t>本合同作为示范文本，具体以正式签订合同为准，合同条款的具体内容应严格按照</w:t>
      </w:r>
      <w:r>
        <w:rPr>
          <w:rFonts w:hint="eastAsia" w:ascii="宋体" w:hAnsi="宋体" w:eastAsia="宋体" w:cs="宋体"/>
          <w:color w:val="auto"/>
          <w:sz w:val="22"/>
          <w:szCs w:val="22"/>
          <w:highlight w:val="none"/>
          <w:u w:val="single"/>
          <w:lang w:eastAsia="zh-CN"/>
        </w:rPr>
        <w:t>采购文件</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响应文件</w:t>
      </w:r>
      <w:r>
        <w:rPr>
          <w:rFonts w:hint="eastAsia" w:ascii="宋体" w:hAnsi="宋体" w:eastAsia="宋体" w:cs="宋体"/>
          <w:color w:val="auto"/>
          <w:sz w:val="22"/>
          <w:szCs w:val="22"/>
          <w:highlight w:val="none"/>
          <w:u w:val="single"/>
        </w:rPr>
        <w:t>、采购结果及中标供应商的承诺来拟订。</w:t>
      </w:r>
    </w:p>
    <w:p w14:paraId="5330840C">
      <w:pPr>
        <w:keepNext w:val="0"/>
        <w:keepLines w:val="0"/>
        <w:pageBreakBefore w:val="0"/>
        <w:kinsoku/>
        <w:wordWrap/>
        <w:overflowPunct/>
        <w:topLinePunct w:val="0"/>
        <w:autoSpaceDE w:val="0"/>
        <w:autoSpaceDN w:val="0"/>
        <w:bidi w:val="0"/>
        <w:adjustRightInd w:val="0"/>
        <w:spacing w:line="400" w:lineRule="exact"/>
        <w:jc w:val="center"/>
        <w:textAlignment w:val="auto"/>
        <w:outlineLvl w:val="0"/>
        <w:rPr>
          <w:rFonts w:hint="eastAsia" w:ascii="宋体" w:hAnsi="宋体" w:eastAsia="宋体" w:cs="宋体"/>
          <w:color w:val="auto"/>
          <w:sz w:val="36"/>
          <w:szCs w:val="36"/>
          <w:highlight w:val="none"/>
        </w:rPr>
        <w:sectPr>
          <w:footerReference r:id="rId12" w:type="first"/>
          <w:footerReference r:id="rId11" w:type="default"/>
          <w:pgSz w:w="11906" w:h="16838"/>
          <w:pgMar w:top="1440" w:right="1361" w:bottom="1276" w:left="1361" w:header="851" w:footer="992" w:gutter="0"/>
          <w:pgNumType w:fmt="decimal"/>
          <w:cols w:space="720" w:num="1"/>
          <w:docGrid w:linePitch="312" w:charSpace="0"/>
        </w:sectPr>
      </w:pPr>
      <w:bookmarkStart w:id="253" w:name="_Toc30605"/>
      <w:r>
        <w:rPr>
          <w:rFonts w:hint="eastAsia" w:ascii="宋体" w:hAnsi="宋体" w:eastAsia="宋体" w:cs="宋体"/>
          <w:b/>
          <w:color w:val="auto"/>
          <w:sz w:val="24"/>
          <w:szCs w:val="24"/>
          <w:highlight w:val="none"/>
          <w:lang w:val="zh-CN"/>
        </w:rPr>
        <w:t>（合同签订后采购人或供应商须将合同副本</w:t>
      </w:r>
      <w:bookmarkEnd w:id="253"/>
      <w:bookmarkStart w:id="254" w:name="_Toc12954"/>
      <w:r>
        <w:rPr>
          <w:rFonts w:hint="eastAsia" w:ascii="宋体" w:hAnsi="宋体" w:eastAsia="宋体" w:cs="宋体"/>
          <w:b/>
          <w:color w:val="auto"/>
          <w:sz w:val="24"/>
          <w:szCs w:val="24"/>
          <w:highlight w:val="none"/>
          <w:lang w:val="zh-CN"/>
        </w:rPr>
        <w:t>送达</w:t>
      </w:r>
      <w:r>
        <w:rPr>
          <w:rFonts w:hint="eastAsia" w:ascii="宋体" w:hAnsi="宋体" w:eastAsia="宋体" w:cs="宋体"/>
          <w:b/>
          <w:color w:val="auto"/>
          <w:sz w:val="24"/>
          <w:szCs w:val="24"/>
          <w:highlight w:val="none"/>
          <w:lang w:val="en-US" w:eastAsia="zh-CN"/>
        </w:rPr>
        <w:t>招标代理机构</w:t>
      </w:r>
      <w:r>
        <w:rPr>
          <w:rFonts w:hint="eastAsia" w:ascii="宋体" w:hAnsi="宋体" w:eastAsia="宋体" w:cs="宋体"/>
          <w:b/>
          <w:color w:val="auto"/>
          <w:sz w:val="24"/>
          <w:szCs w:val="24"/>
          <w:highlight w:val="none"/>
          <w:lang w:val="zh-CN"/>
        </w:rPr>
        <w:t>处备案）</w:t>
      </w:r>
      <w:bookmarkEnd w:id="254"/>
    </w:p>
    <w:p w14:paraId="53800B17">
      <w:pPr>
        <w:pStyle w:val="6"/>
        <w:tabs>
          <w:tab w:val="left" w:pos="1069"/>
          <w:tab w:val="left" w:pos="2352"/>
        </w:tabs>
        <w:jc w:val="center"/>
        <w:rPr>
          <w:rFonts w:hint="eastAsia" w:ascii="宋体" w:hAnsi="宋体" w:cs="宋体"/>
          <w:b/>
          <w:bCs/>
          <w:color w:val="auto"/>
          <w:sz w:val="32"/>
          <w:szCs w:val="32"/>
          <w:highlight w:val="none"/>
        </w:rPr>
      </w:pPr>
    </w:p>
    <w:p w14:paraId="4B8F3507">
      <w:pPr>
        <w:pStyle w:val="6"/>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第六部分、附件-投标（响应）文件格式</w:t>
      </w:r>
      <w:bookmarkEnd w:id="91"/>
    </w:p>
    <w:p w14:paraId="54B0C97C">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lang w:val="zh-CN"/>
        </w:rPr>
        <w:t>一、</w:t>
      </w: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部分投标文件格式</w:t>
      </w:r>
    </w:p>
    <w:p w14:paraId="2162C704">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8B4B4E4">
      <w:pPr>
        <w:tabs>
          <w:tab w:val="left" w:pos="1069"/>
          <w:tab w:val="left" w:pos="2352"/>
        </w:tabs>
        <w:snapToGrid w:val="0"/>
        <w:spacing w:line="440" w:lineRule="exact"/>
        <w:jc w:val="center"/>
        <w:rPr>
          <w:rFonts w:ascii="宋体" w:hAnsi="宋体" w:cs="宋体"/>
          <w:b/>
          <w:color w:val="auto"/>
          <w:sz w:val="32"/>
          <w:szCs w:val="32"/>
          <w:highlight w:val="none"/>
        </w:rPr>
      </w:pPr>
    </w:p>
    <w:p w14:paraId="25BC74B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2024年泰顺县司前畲族镇黄桥村晓燕自然村上燕农田宜机化改造项目</w:t>
      </w:r>
    </w:p>
    <w:p w14:paraId="0BA26CB6">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0949A305">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（报 价 部 分）</w:t>
      </w:r>
    </w:p>
    <w:p w14:paraId="09DBE477">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EE5F3D2">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293737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1D5BE2C">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TSCG202501004</w:t>
            </w:r>
          </w:p>
        </w:tc>
      </w:tr>
      <w:tr w14:paraId="71FDA3E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5F373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泰顺县司前畲族人民政府</w:t>
            </w:r>
          </w:p>
        </w:tc>
      </w:tr>
      <w:tr w14:paraId="1D8C94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0220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1AA52D4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8EDBAB2">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342A14E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62CC0">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46BC4AF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448DCAE">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0673EB96">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6E48A5B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F66303A">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35FDF25">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08C0367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29255D0">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7850B5F">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1721BED4">
      <w:pPr>
        <w:tabs>
          <w:tab w:val="left" w:pos="1069"/>
          <w:tab w:val="left" w:pos="2352"/>
        </w:tabs>
        <w:autoSpaceDE w:val="0"/>
        <w:autoSpaceDN w:val="0"/>
        <w:adjustRightInd w:val="0"/>
        <w:spacing w:line="360" w:lineRule="exact"/>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附件一</w:t>
      </w:r>
    </w:p>
    <w:p w14:paraId="21C4095F">
      <w:pPr>
        <w:tabs>
          <w:tab w:val="left" w:pos="1069"/>
          <w:tab w:val="left" w:pos="2352"/>
        </w:tabs>
        <w:autoSpaceDE w:val="0"/>
        <w:autoSpaceDN w:val="0"/>
        <w:adjustRightInd w:val="0"/>
        <w:spacing w:line="36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开标（报价）一览表</w:t>
      </w:r>
      <w:r>
        <w:rPr>
          <w:rFonts w:hint="eastAsia" w:ascii="宋体" w:hAnsi="宋体" w:cs="宋体"/>
          <w:color w:val="auto"/>
          <w:sz w:val="22"/>
          <w:highlight w:val="none"/>
        </w:rPr>
        <w:t>（首次报价）</w:t>
      </w:r>
    </w:p>
    <w:p w14:paraId="1AA4E4A8">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u w:val="single"/>
          <w:lang w:eastAsia="zh-CN"/>
        </w:rPr>
      </w:pPr>
      <w:r>
        <w:rPr>
          <w:rFonts w:hint="eastAsia" w:ascii="宋体" w:hAnsi="宋体" w:cs="宋体"/>
          <w:color w:val="auto"/>
          <w:sz w:val="22"/>
          <w:highlight w:val="none"/>
        </w:rPr>
        <w:t>项目名称</w:t>
      </w:r>
      <w:r>
        <w:rPr>
          <w:rFonts w:hint="eastAsia" w:ascii="宋体" w:hAnsi="宋体" w:cs="宋体"/>
          <w:color w:val="auto"/>
          <w:sz w:val="22"/>
          <w:highlight w:val="none"/>
          <w:lang w:val="zh-CN"/>
        </w:rPr>
        <w:t>：</w:t>
      </w:r>
      <w:r>
        <w:rPr>
          <w:rFonts w:hint="eastAsia" w:ascii="宋体" w:hAnsi="宋体" w:cs="宋体"/>
          <w:color w:val="auto"/>
          <w:sz w:val="22"/>
          <w:highlight w:val="none"/>
          <w:u w:val="single"/>
          <w:lang w:eastAsia="zh-CN"/>
        </w:rPr>
        <w:t>2024年泰顺县司前畲族镇黄桥村晓燕自然村上燕农田宜机化改造项目</w:t>
      </w:r>
    </w:p>
    <w:p w14:paraId="31AC472F">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lang w:val="zh-CN" w:eastAsia="zh-CN"/>
        </w:rPr>
      </w:pPr>
      <w:r>
        <w:rPr>
          <w:rFonts w:hint="eastAsia" w:ascii="宋体" w:hAnsi="宋体" w:cs="宋体"/>
          <w:color w:val="auto"/>
          <w:sz w:val="22"/>
          <w:highlight w:val="none"/>
          <w:lang w:val="zh-CN"/>
        </w:rPr>
        <w:t>采购编号：</w:t>
      </w:r>
      <w:r>
        <w:rPr>
          <w:rFonts w:hint="eastAsia" w:ascii="宋体" w:hAnsi="宋体" w:cs="宋体"/>
          <w:color w:val="auto"/>
          <w:sz w:val="22"/>
          <w:highlight w:val="none"/>
          <w:u w:val="single"/>
          <w:lang w:eastAsia="zh-CN"/>
        </w:rPr>
        <w:t>TSCG202501004</w:t>
      </w:r>
    </w:p>
    <w:tbl>
      <w:tblPr>
        <w:tblStyle w:val="31"/>
        <w:tblW w:w="5054" w:type="pct"/>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76"/>
        <w:gridCol w:w="1420"/>
        <w:gridCol w:w="3040"/>
        <w:gridCol w:w="1583"/>
        <w:gridCol w:w="1839"/>
      </w:tblGrid>
      <w:tr w14:paraId="3116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46" w:type="pct"/>
            <w:vAlign w:val="center"/>
          </w:tcPr>
          <w:p w14:paraId="14E6F71C">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序号</w:t>
            </w:r>
          </w:p>
        </w:tc>
        <w:tc>
          <w:tcPr>
            <w:tcW w:w="604" w:type="pct"/>
            <w:tcBorders>
              <w:right w:val="single" w:color="000000" w:sz="4" w:space="0"/>
            </w:tcBorders>
            <w:vAlign w:val="center"/>
          </w:tcPr>
          <w:p w14:paraId="505329A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rPr>
            </w:pPr>
            <w:r>
              <w:rPr>
                <w:rFonts w:hint="eastAsia" w:ascii="宋体" w:hAnsi="宋体" w:eastAsia="宋体" w:cs="宋体"/>
                <w:b w:val="0"/>
                <w:bCs/>
                <w:color w:val="auto"/>
                <w:kern w:val="0"/>
                <w:sz w:val="22"/>
                <w:szCs w:val="22"/>
                <w:highlight w:val="none"/>
                <w:u w:val="none"/>
                <w:lang w:val="en-US" w:eastAsia="zh-CN"/>
              </w:rPr>
              <w:t>标项名称</w:t>
            </w:r>
          </w:p>
        </w:tc>
        <w:tc>
          <w:tcPr>
            <w:tcW w:w="729" w:type="pct"/>
            <w:tcBorders>
              <w:left w:val="single" w:color="000000" w:sz="4" w:space="0"/>
            </w:tcBorders>
            <w:vAlign w:val="center"/>
          </w:tcPr>
          <w:p w14:paraId="77DDDE3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报价类型</w:t>
            </w:r>
          </w:p>
        </w:tc>
        <w:tc>
          <w:tcPr>
            <w:tcW w:w="1561" w:type="pct"/>
            <w:vAlign w:val="center"/>
          </w:tcPr>
          <w:p w14:paraId="048E06F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投标报价</w:t>
            </w:r>
          </w:p>
        </w:tc>
        <w:tc>
          <w:tcPr>
            <w:tcW w:w="813" w:type="pct"/>
            <w:vAlign w:val="center"/>
          </w:tcPr>
          <w:p w14:paraId="0A0C44B6">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项目负责人</w:t>
            </w:r>
          </w:p>
        </w:tc>
        <w:tc>
          <w:tcPr>
            <w:tcW w:w="944" w:type="pct"/>
            <w:vAlign w:val="center"/>
          </w:tcPr>
          <w:p w14:paraId="4B125BB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最高限价</w:t>
            </w:r>
          </w:p>
        </w:tc>
      </w:tr>
      <w:tr w14:paraId="5349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346" w:type="pct"/>
            <w:vAlign w:val="center"/>
          </w:tcPr>
          <w:p w14:paraId="76408C5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1</w:t>
            </w:r>
          </w:p>
        </w:tc>
        <w:tc>
          <w:tcPr>
            <w:tcW w:w="604" w:type="pct"/>
            <w:vMerge w:val="restart"/>
            <w:tcBorders>
              <w:right w:val="single" w:color="000000" w:sz="4" w:space="0"/>
            </w:tcBorders>
            <w:shd w:val="clear" w:color="auto" w:fill="auto"/>
            <w:vAlign w:val="center"/>
          </w:tcPr>
          <w:p w14:paraId="19C0D0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bidi="ar-SA"/>
              </w:rPr>
            </w:pPr>
            <w:r>
              <w:rPr>
                <w:rFonts w:hint="eastAsia" w:ascii="宋体" w:hAnsi="宋体" w:cs="宋体"/>
                <w:color w:val="auto"/>
                <w:sz w:val="22"/>
                <w:szCs w:val="22"/>
                <w:highlight w:val="none"/>
                <w:u w:val="none"/>
                <w:lang w:eastAsia="zh-CN"/>
              </w:rPr>
              <w:t>2024年泰顺县司前畲族镇黄桥村晓燕自然村上燕农田宜机化改造项目</w:t>
            </w:r>
          </w:p>
        </w:tc>
        <w:tc>
          <w:tcPr>
            <w:tcW w:w="729" w:type="pct"/>
            <w:tcBorders>
              <w:left w:val="single" w:color="000000" w:sz="4" w:space="0"/>
            </w:tcBorders>
            <w:shd w:val="clear" w:color="auto" w:fill="auto"/>
            <w:vAlign w:val="center"/>
          </w:tcPr>
          <w:p w14:paraId="29024ED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运营部分：每亩年收益报价</w:t>
            </w:r>
          </w:p>
        </w:tc>
        <w:tc>
          <w:tcPr>
            <w:tcW w:w="1561" w:type="pct"/>
            <w:shd w:val="clear" w:color="auto" w:fill="auto"/>
            <w:vAlign w:val="center"/>
          </w:tcPr>
          <w:p w14:paraId="727062E5">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18B85FAC">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小写：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730A46CA">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5359E7D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每亩年租金收益报价（起步价暂定为300元/亩/年）</w:t>
            </w:r>
          </w:p>
        </w:tc>
      </w:tr>
      <w:tr w14:paraId="408F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346" w:type="pct"/>
            <w:vAlign w:val="center"/>
          </w:tcPr>
          <w:p w14:paraId="70D9CA6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2</w:t>
            </w:r>
          </w:p>
        </w:tc>
        <w:tc>
          <w:tcPr>
            <w:tcW w:w="604" w:type="pct"/>
            <w:vMerge w:val="continue"/>
            <w:tcBorders>
              <w:right w:val="single" w:color="000000" w:sz="4" w:space="0"/>
            </w:tcBorders>
            <w:shd w:val="clear" w:color="auto" w:fill="auto"/>
            <w:vAlign w:val="center"/>
          </w:tcPr>
          <w:p w14:paraId="2F6D590E">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bidi="ar-SA"/>
              </w:rPr>
            </w:pPr>
          </w:p>
        </w:tc>
        <w:tc>
          <w:tcPr>
            <w:tcW w:w="729" w:type="pct"/>
            <w:tcBorders>
              <w:left w:val="single" w:color="000000" w:sz="4" w:space="0"/>
            </w:tcBorders>
            <w:shd w:val="clear" w:color="auto" w:fill="auto"/>
            <w:vAlign w:val="center"/>
          </w:tcPr>
          <w:p w14:paraId="4185D9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宜机化改造部分</w:t>
            </w:r>
            <w:r>
              <w:rPr>
                <w:rFonts w:hint="eastAsia" w:ascii="宋体" w:hAnsi="宋体" w:eastAsia="宋体" w:cs="宋体"/>
                <w:b w:val="0"/>
                <w:bCs/>
                <w:color w:val="auto"/>
                <w:kern w:val="0"/>
                <w:sz w:val="22"/>
                <w:szCs w:val="22"/>
                <w:highlight w:val="none"/>
                <w:lang w:val="en-US" w:eastAsia="zh-CN"/>
              </w:rPr>
              <w:t>：下浮率</w:t>
            </w:r>
          </w:p>
        </w:tc>
        <w:tc>
          <w:tcPr>
            <w:tcW w:w="1561" w:type="pct"/>
            <w:shd w:val="clear" w:color="auto" w:fill="auto"/>
            <w:vAlign w:val="center"/>
          </w:tcPr>
          <w:p w14:paraId="5F8289FD">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035400A4">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 xml:space="preserve">小写： </w:t>
            </w:r>
            <w:r>
              <w:rPr>
                <w:rFonts w:hint="eastAsia" w:ascii="宋体" w:hAnsi="宋体" w:eastAsia="宋体" w:cs="宋体"/>
                <w:b w:val="0"/>
                <w:bCs/>
                <w:color w:val="auto"/>
                <w:kern w:val="0"/>
                <w:sz w:val="22"/>
                <w:szCs w:val="22"/>
                <w:highlight w:val="none"/>
                <w:u w:val="single"/>
                <w:lang w:val="en-US" w:eastAsia="zh-CN"/>
              </w:rPr>
              <w:t xml:space="preserve">            %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5091B5ED">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3EF9BB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参照工程量清单报下浮率</w:t>
            </w:r>
          </w:p>
        </w:tc>
      </w:tr>
    </w:tbl>
    <w:p w14:paraId="298C3961">
      <w:pPr>
        <w:pStyle w:val="12"/>
        <w:tabs>
          <w:tab w:val="left" w:pos="1069"/>
          <w:tab w:val="left" w:pos="2352"/>
        </w:tabs>
        <w:spacing w:line="440" w:lineRule="atLeast"/>
        <w:rPr>
          <w:rFonts w:hAnsi="宋体" w:cs="宋体"/>
          <w:color w:val="auto"/>
          <w:sz w:val="22"/>
          <w:highlight w:val="none"/>
        </w:rPr>
      </w:pPr>
    </w:p>
    <w:p w14:paraId="792239FA">
      <w:pPr>
        <w:tabs>
          <w:tab w:val="left" w:pos="1069"/>
          <w:tab w:val="left" w:pos="2352"/>
        </w:tabs>
        <w:autoSpaceDE w:val="0"/>
        <w:autoSpaceDN w:val="0"/>
        <w:spacing w:line="360" w:lineRule="auto"/>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b/>
          <w:bCs/>
          <w:color w:val="auto"/>
          <w:sz w:val="22"/>
          <w:highlight w:val="none"/>
          <w:u w:val="single"/>
        </w:rPr>
        <w:t>开标（报价）一览表中投标价为符合竞争性磋商文件要求的投标</w:t>
      </w:r>
      <w:r>
        <w:rPr>
          <w:rFonts w:hint="eastAsia" w:ascii="宋体" w:hAnsi="宋体" w:cs="宋体"/>
          <w:b/>
          <w:bCs/>
          <w:color w:val="auto"/>
          <w:sz w:val="22"/>
          <w:highlight w:val="none"/>
          <w:u w:val="single"/>
          <w:lang w:val="en-US" w:eastAsia="zh-CN"/>
        </w:rPr>
        <w:t>报价</w:t>
      </w:r>
      <w:r>
        <w:rPr>
          <w:rFonts w:hint="eastAsia" w:ascii="宋体" w:hAnsi="宋体" w:cs="宋体"/>
          <w:color w:val="auto"/>
          <w:sz w:val="22"/>
          <w:highlight w:val="none"/>
        </w:rPr>
        <w:t>。</w:t>
      </w:r>
    </w:p>
    <w:p w14:paraId="276C5578">
      <w:pPr>
        <w:tabs>
          <w:tab w:val="left" w:pos="1069"/>
          <w:tab w:val="left" w:pos="2352"/>
        </w:tabs>
        <w:autoSpaceDE w:val="0"/>
        <w:autoSpaceDN w:val="0"/>
        <w:spacing w:line="360" w:lineRule="auto"/>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b/>
          <w:bCs/>
          <w:color w:val="auto"/>
          <w:sz w:val="22"/>
          <w:highlight w:val="none"/>
          <w:u w:val="single"/>
        </w:rPr>
        <w:t>不提供此表格的将视为没有实质性响应竞争性磋商文件</w:t>
      </w:r>
      <w:r>
        <w:rPr>
          <w:rFonts w:hint="eastAsia" w:ascii="宋体" w:hAnsi="宋体" w:cs="宋体"/>
          <w:color w:val="auto"/>
          <w:sz w:val="22"/>
          <w:highlight w:val="none"/>
        </w:rPr>
        <w:t>。</w:t>
      </w:r>
    </w:p>
    <w:p w14:paraId="7A730C1A">
      <w:pPr>
        <w:pStyle w:val="12"/>
        <w:tabs>
          <w:tab w:val="left" w:pos="1069"/>
          <w:tab w:val="left" w:pos="2352"/>
        </w:tabs>
        <w:spacing w:line="440" w:lineRule="atLeast"/>
        <w:rPr>
          <w:rFonts w:hAnsi="宋体" w:cs="宋体"/>
          <w:b/>
          <w:bCs/>
          <w:color w:val="auto"/>
          <w:sz w:val="22"/>
          <w:highlight w:val="none"/>
        </w:rPr>
      </w:pPr>
    </w:p>
    <w:p w14:paraId="43DD259C">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供应商全称：（盖章）</w:t>
      </w:r>
    </w:p>
    <w:p w14:paraId="4C8A038F">
      <w:pPr>
        <w:pStyle w:val="12"/>
        <w:tabs>
          <w:tab w:val="left" w:pos="1069"/>
          <w:tab w:val="left" w:pos="2352"/>
        </w:tabs>
        <w:spacing w:line="440" w:lineRule="atLeast"/>
        <w:rPr>
          <w:rFonts w:hAnsi="宋体" w:cs="宋体"/>
          <w:b/>
          <w:bCs/>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BEDE981">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日期：</w:t>
      </w:r>
    </w:p>
    <w:p w14:paraId="79CF9967">
      <w:pPr>
        <w:tabs>
          <w:tab w:val="left" w:pos="1069"/>
          <w:tab w:val="left" w:pos="2352"/>
        </w:tabs>
        <w:spacing w:line="360" w:lineRule="exact"/>
        <w:jc w:val="left"/>
        <w:rPr>
          <w:rFonts w:ascii="宋体" w:hAnsi="宋体" w:cs="宋体"/>
          <w:color w:val="auto"/>
          <w:sz w:val="22"/>
          <w:highlight w:val="none"/>
          <w:lang w:val="zh-CN"/>
        </w:rPr>
      </w:pPr>
      <w:bookmarkStart w:id="255" w:name="_Toc31481_WPSOffice_Level2"/>
    </w:p>
    <w:p w14:paraId="2890F53B">
      <w:pPr>
        <w:pStyle w:val="10"/>
        <w:tabs>
          <w:tab w:val="left" w:pos="1069"/>
          <w:tab w:val="left" w:pos="2352"/>
        </w:tabs>
        <w:rPr>
          <w:rFonts w:ascii="宋体" w:hAnsi="宋体" w:cs="宋体"/>
          <w:color w:val="auto"/>
          <w:sz w:val="22"/>
          <w:highlight w:val="none"/>
          <w:lang w:val="zh-CN"/>
        </w:rPr>
      </w:pPr>
    </w:p>
    <w:p w14:paraId="6FF1EC15">
      <w:pPr>
        <w:pStyle w:val="10"/>
        <w:tabs>
          <w:tab w:val="left" w:pos="1069"/>
          <w:tab w:val="left" w:pos="2352"/>
        </w:tabs>
        <w:rPr>
          <w:rFonts w:ascii="宋体" w:hAnsi="宋体" w:cs="宋体"/>
          <w:color w:val="auto"/>
          <w:sz w:val="22"/>
          <w:highlight w:val="none"/>
          <w:lang w:val="zh-CN"/>
        </w:rPr>
      </w:pPr>
    </w:p>
    <w:p w14:paraId="4F0EB214">
      <w:pPr>
        <w:pStyle w:val="10"/>
        <w:tabs>
          <w:tab w:val="left" w:pos="1069"/>
          <w:tab w:val="left" w:pos="2352"/>
        </w:tabs>
        <w:rPr>
          <w:rFonts w:ascii="宋体" w:hAnsi="宋体" w:cs="宋体"/>
          <w:color w:val="auto"/>
          <w:sz w:val="22"/>
          <w:highlight w:val="none"/>
          <w:lang w:val="zh-CN"/>
        </w:rPr>
      </w:pPr>
    </w:p>
    <w:bookmarkEnd w:id="255"/>
    <w:p w14:paraId="38DA48D2">
      <w:pPr>
        <w:pStyle w:val="9"/>
        <w:tabs>
          <w:tab w:val="left" w:pos="1069"/>
          <w:tab w:val="left" w:pos="2352"/>
        </w:tabs>
        <w:rPr>
          <w:rFonts w:ascii="宋体" w:hAnsi="宋体" w:cs="宋体"/>
          <w:b/>
          <w:bCs/>
          <w:color w:val="auto"/>
          <w:sz w:val="32"/>
          <w:szCs w:val="32"/>
          <w:highlight w:val="none"/>
        </w:rPr>
      </w:pPr>
    </w:p>
    <w:p w14:paraId="34049891">
      <w:pPr>
        <w:tabs>
          <w:tab w:val="left" w:pos="1069"/>
          <w:tab w:val="left" w:pos="2352"/>
        </w:tabs>
        <w:snapToGrid w:val="0"/>
        <w:spacing w:line="440" w:lineRule="exact"/>
        <w:rPr>
          <w:rFonts w:ascii="宋体" w:hAnsi="宋体" w:cs="宋体"/>
          <w:b/>
          <w:bCs/>
          <w:color w:val="auto"/>
          <w:sz w:val="22"/>
          <w:highlight w:val="none"/>
        </w:rPr>
      </w:pPr>
    </w:p>
    <w:p w14:paraId="1102F185">
      <w:pPr>
        <w:tabs>
          <w:tab w:val="left" w:pos="1069"/>
          <w:tab w:val="left" w:pos="2352"/>
        </w:tabs>
        <w:snapToGrid w:val="0"/>
        <w:spacing w:line="440" w:lineRule="exact"/>
        <w:rPr>
          <w:rFonts w:ascii="宋体" w:hAnsi="宋体" w:cs="宋体"/>
          <w:b/>
          <w:bCs/>
          <w:color w:val="auto"/>
          <w:sz w:val="22"/>
          <w:highlight w:val="none"/>
        </w:rPr>
      </w:pPr>
    </w:p>
    <w:p w14:paraId="16BDBDDF">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二</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部分投标文件格式</w:t>
      </w:r>
    </w:p>
    <w:p w14:paraId="5FF42CA5">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1DA98E8">
      <w:pPr>
        <w:tabs>
          <w:tab w:val="left" w:pos="1069"/>
          <w:tab w:val="left" w:pos="2352"/>
        </w:tabs>
        <w:spacing w:line="480" w:lineRule="auto"/>
        <w:jc w:val="center"/>
        <w:rPr>
          <w:rFonts w:ascii="宋体" w:hAnsi="宋体" w:cs="宋体"/>
          <w:b/>
          <w:color w:val="auto"/>
          <w:sz w:val="64"/>
          <w:szCs w:val="64"/>
          <w:highlight w:val="none"/>
        </w:rPr>
      </w:pPr>
    </w:p>
    <w:p w14:paraId="248B9D18">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2024年泰顺县司前畲族镇黄桥村晓燕自然村上燕农田宜机化改造项目</w:t>
      </w:r>
    </w:p>
    <w:p w14:paraId="4A8E566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6ED75A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（资 格 部 分）</w:t>
      </w:r>
    </w:p>
    <w:p w14:paraId="36E79F9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5D9A69">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059C96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737" w:hRule="atLeast"/>
        </w:trPr>
        <w:tc>
          <w:tcPr>
            <w:tcW w:w="7678" w:type="dxa"/>
          </w:tcPr>
          <w:p w14:paraId="694A14B9">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TSCG202501004</w:t>
            </w:r>
          </w:p>
        </w:tc>
      </w:tr>
      <w:tr w14:paraId="2BA6560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F3322B7">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泰顺县司前畲族人民政府</w:t>
            </w:r>
          </w:p>
        </w:tc>
      </w:tr>
      <w:tr w14:paraId="3F3432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7846509">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0512568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38996A1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48C6C90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B52912D">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6C6D0F7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A3BCDC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6DB86D8F">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360F97">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5F714786">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777C2C93">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二</w:t>
      </w:r>
    </w:p>
    <w:p w14:paraId="34E38966">
      <w:pPr>
        <w:tabs>
          <w:tab w:val="left" w:pos="1069"/>
          <w:tab w:val="left" w:pos="2352"/>
        </w:tabs>
        <w:autoSpaceDE w:val="0"/>
        <w:autoSpaceDN w:val="0"/>
        <w:adjustRightInd w:val="0"/>
        <w:spacing w:line="460" w:lineRule="atLeast"/>
        <w:jc w:val="center"/>
        <w:rPr>
          <w:rFonts w:ascii="宋体" w:hAnsi="宋体" w:cs="宋体"/>
          <w:b/>
          <w:bCs/>
          <w:color w:val="auto"/>
          <w:sz w:val="32"/>
          <w:szCs w:val="24"/>
          <w:highlight w:val="none"/>
        </w:rPr>
      </w:pPr>
      <w:r>
        <w:rPr>
          <w:rFonts w:hint="eastAsia" w:ascii="宋体" w:hAnsi="宋体" w:cs="宋体"/>
          <w:b/>
          <w:bCs/>
          <w:color w:val="auto"/>
          <w:sz w:val="32"/>
          <w:szCs w:val="24"/>
          <w:highlight w:val="none"/>
        </w:rPr>
        <w:t>符合参加政府采购活动应当具备的一般条件的承诺函</w:t>
      </w:r>
    </w:p>
    <w:p w14:paraId="264B1E00">
      <w:pPr>
        <w:snapToGrid w:val="0"/>
        <w:spacing w:line="360" w:lineRule="auto"/>
        <w:rPr>
          <w:rFonts w:ascii="宋体" w:hAnsi="宋体" w:cs="宋体"/>
          <w:color w:val="auto"/>
          <w:sz w:val="22"/>
          <w:highlight w:val="none"/>
          <w:u w:val="single"/>
        </w:rPr>
      </w:pPr>
    </w:p>
    <w:p w14:paraId="1AD23E07">
      <w:pPr>
        <w:keepNext w:val="0"/>
        <w:keepLines w:val="0"/>
        <w:pageBreakBefore w:val="0"/>
        <w:widowControl w:val="0"/>
        <w:kinsoku/>
        <w:wordWrap/>
        <w:overflowPunct/>
        <w:topLinePunct w:val="0"/>
        <w:autoSpaceDE/>
        <w:autoSpaceDN/>
        <w:bidi w:val="0"/>
        <w:adjustRightInd/>
        <w:snapToGrid w:val="0"/>
        <w:spacing w:line="360" w:lineRule="exact"/>
        <w:textAlignment w:val="auto"/>
        <w:rPr>
          <w:rFonts w:ascii="宋体" w:hAnsi="宋体" w:cs="仿宋_GB2312"/>
          <w:b/>
          <w:bCs/>
          <w:color w:val="auto"/>
          <w:sz w:val="22"/>
          <w:szCs w:val="24"/>
          <w:highlight w:val="none"/>
        </w:rPr>
      </w:pPr>
      <w:r>
        <w:rPr>
          <w:rFonts w:hint="eastAsia" w:ascii="宋体" w:hAnsi="宋体" w:cs="宋体"/>
          <w:color w:val="auto"/>
          <w:sz w:val="22"/>
          <w:highlight w:val="none"/>
          <w:u w:val="single"/>
          <w:lang w:eastAsia="zh-CN"/>
        </w:rPr>
        <w:t>泰顺县司前畲族人民政府</w:t>
      </w:r>
      <w:r>
        <w:rPr>
          <w:rFonts w:hint="eastAsia" w:ascii="宋体" w:hAnsi="宋体" w:cs="宋体"/>
          <w:color w:val="auto"/>
          <w:sz w:val="22"/>
          <w:highlight w:val="none"/>
          <w:u w:val="single"/>
        </w:rPr>
        <w:t>、杭州华旗招标代理有限公司</w:t>
      </w:r>
      <w:r>
        <w:rPr>
          <w:rFonts w:hint="eastAsia" w:ascii="宋体" w:hAnsi="宋体" w:cs="仿宋_GB2312"/>
          <w:b/>
          <w:bCs/>
          <w:color w:val="auto"/>
          <w:sz w:val="22"/>
          <w:szCs w:val="24"/>
          <w:highlight w:val="none"/>
        </w:rPr>
        <w:t>：</w:t>
      </w:r>
    </w:p>
    <w:p w14:paraId="0790028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我方参与</w:t>
      </w:r>
      <w:r>
        <w:rPr>
          <w:rFonts w:hint="eastAsia" w:ascii="宋体" w:hAnsi="宋体" w:cs="仿宋_GB2312"/>
          <w:color w:val="auto"/>
          <w:sz w:val="22"/>
          <w:szCs w:val="24"/>
          <w:highlight w:val="none"/>
          <w:u w:val="single"/>
        </w:rPr>
        <w:t xml:space="preserve"> </w:t>
      </w:r>
      <w:r>
        <w:rPr>
          <w:rFonts w:ascii="宋体" w:hAnsi="宋体" w:cs="仿宋_GB2312"/>
          <w:color w:val="auto"/>
          <w:sz w:val="22"/>
          <w:szCs w:val="24"/>
          <w:highlight w:val="none"/>
          <w:u w:val="single"/>
        </w:rPr>
        <w:t xml:space="preserve"> </w:t>
      </w:r>
      <w:r>
        <w:rPr>
          <w:rFonts w:hint="eastAsia" w:ascii="宋体" w:hAnsi="宋体" w:cs="仿宋_GB2312"/>
          <w:b/>
          <w:bCs/>
          <w:color w:val="auto"/>
          <w:sz w:val="22"/>
          <w:szCs w:val="24"/>
          <w:highlight w:val="none"/>
          <w:u w:val="single"/>
          <w:lang w:eastAsia="zh-CN"/>
        </w:rPr>
        <w:t>2024年泰顺县司前畲族镇黄桥村晓燕自然村上燕农田宜机化改造项目</w:t>
      </w:r>
      <w:r>
        <w:rPr>
          <w:rFonts w:hint="eastAsia" w:ascii="宋体" w:hAnsi="宋体" w:cs="仿宋_GB2312"/>
          <w:b/>
          <w:bCs/>
          <w:color w:val="auto"/>
          <w:sz w:val="22"/>
          <w:szCs w:val="24"/>
          <w:highlight w:val="none"/>
          <w:u w:val="single"/>
        </w:rPr>
        <w:t>（项目编号：</w:t>
      </w:r>
      <w:r>
        <w:rPr>
          <w:rFonts w:hint="eastAsia" w:ascii="宋体" w:hAnsi="宋体" w:cs="仿宋_GB2312"/>
          <w:b/>
          <w:bCs/>
          <w:color w:val="auto"/>
          <w:sz w:val="22"/>
          <w:szCs w:val="24"/>
          <w:highlight w:val="none"/>
          <w:u w:val="single"/>
          <w:lang w:eastAsia="zh-CN"/>
        </w:rPr>
        <w:t>TSCG202501004</w:t>
      </w:r>
      <w:r>
        <w:rPr>
          <w:rFonts w:hint="eastAsia" w:ascii="宋体" w:hAnsi="宋体" w:cs="仿宋_GB2312"/>
          <w:b/>
          <w:bCs/>
          <w:color w:val="auto"/>
          <w:sz w:val="22"/>
          <w:szCs w:val="24"/>
          <w:highlight w:val="none"/>
          <w:u w:val="single"/>
        </w:rPr>
        <w:t>）</w:t>
      </w:r>
      <w:r>
        <w:rPr>
          <w:rFonts w:hint="eastAsia" w:ascii="宋体" w:hAnsi="宋体" w:cs="仿宋_GB2312"/>
          <w:color w:val="auto"/>
          <w:sz w:val="22"/>
          <w:szCs w:val="24"/>
          <w:highlight w:val="none"/>
        </w:rPr>
        <w:t>政府采购活动，郑重承诺：</w:t>
      </w:r>
    </w:p>
    <w:p w14:paraId="4D9E2F06">
      <w:pPr>
        <w:keepNext w:val="0"/>
        <w:keepLines w:val="0"/>
        <w:pageBreakBefore w:val="0"/>
        <w:widowControl w:val="0"/>
        <w:kinsoku/>
        <w:wordWrap/>
        <w:overflowPunct/>
        <w:topLinePunct w:val="0"/>
        <w:autoSpaceDE/>
        <w:autoSpaceDN/>
        <w:bidi w:val="0"/>
        <w:adjustRightInd/>
        <w:snapToGrid w:val="0"/>
        <w:spacing w:line="360" w:lineRule="exact"/>
        <w:ind w:firstLine="334" w:firstLineChars="15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（一）具备《中华人民共和国政府采购法》第二十二条规定的条件：</w:t>
      </w:r>
    </w:p>
    <w:p w14:paraId="43CBCF7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1、</w:t>
      </w:r>
      <w:r>
        <w:rPr>
          <w:rFonts w:ascii="宋体" w:hAnsi="宋体" w:cs="仿宋_GB2312"/>
          <w:color w:val="auto"/>
          <w:sz w:val="22"/>
          <w:szCs w:val="24"/>
          <w:highlight w:val="none"/>
        </w:rPr>
        <w:t>具有独立承担民事责任的能力；</w:t>
      </w:r>
    </w:p>
    <w:p w14:paraId="26D864F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 xml:space="preserve">具有良好的商业信誉和健全的财务会计制度； </w:t>
      </w:r>
    </w:p>
    <w:p w14:paraId="40573AFF">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3、</w:t>
      </w:r>
      <w:r>
        <w:rPr>
          <w:rFonts w:ascii="宋体" w:hAnsi="宋体"/>
          <w:color w:val="auto"/>
          <w:sz w:val="22"/>
          <w:szCs w:val="24"/>
          <w:highlight w:val="none"/>
        </w:rPr>
        <w:t>具有履行合同所必需的设备和专业技术能力；</w:t>
      </w:r>
    </w:p>
    <w:p w14:paraId="64EA316E">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4、</w:t>
      </w:r>
      <w:r>
        <w:rPr>
          <w:rFonts w:ascii="宋体" w:hAnsi="宋体"/>
          <w:color w:val="auto"/>
          <w:sz w:val="22"/>
          <w:szCs w:val="24"/>
          <w:highlight w:val="none"/>
        </w:rPr>
        <w:t>有依法缴纳税收和社会保障资金的良好记录；</w:t>
      </w:r>
    </w:p>
    <w:p w14:paraId="05922EC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5、</w:t>
      </w:r>
      <w:r>
        <w:rPr>
          <w:rFonts w:ascii="宋体" w:hAnsi="宋体"/>
          <w:color w:val="auto"/>
          <w:sz w:val="22"/>
          <w:szCs w:val="24"/>
          <w:highlight w:val="none"/>
        </w:rPr>
        <w:t>参加政府采购活动前三年内，在经营活动中没有重大违法记录；</w:t>
      </w:r>
    </w:p>
    <w:p w14:paraId="4238335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6、</w:t>
      </w:r>
      <w:r>
        <w:rPr>
          <w:rFonts w:ascii="宋体" w:hAnsi="宋体"/>
          <w:color w:val="auto"/>
          <w:sz w:val="22"/>
          <w:szCs w:val="24"/>
          <w:highlight w:val="none"/>
        </w:rPr>
        <w:t>具有法律、行政法规规定的其他条件。</w:t>
      </w:r>
    </w:p>
    <w:p w14:paraId="244992B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（二）未被信用中国（</w:t>
      </w:r>
      <w:r>
        <w:rPr>
          <w:rFonts w:ascii="宋体" w:hAnsi="宋体"/>
          <w:color w:val="auto"/>
          <w:sz w:val="22"/>
          <w:szCs w:val="24"/>
          <w:highlight w:val="none"/>
        </w:rPr>
        <w:t>www.creditchina.gov.cn)、中国政府采购网（www.ccgp.gov.cn）列入失信被执行人、重大税收违法案件当事人名单、政府采购严重违法失信行为记录名单</w:t>
      </w:r>
      <w:r>
        <w:rPr>
          <w:rFonts w:hint="eastAsia" w:ascii="宋体" w:hAnsi="宋体" w:cs="宋体"/>
          <w:color w:val="auto"/>
          <w:sz w:val="22"/>
          <w:highlight w:val="none"/>
        </w:rPr>
        <w:t>（没有因违法经营受到刑事处罚，没有被责令停产停业、被吊销许可证或者执照、被处以较大数额罚款等行政处罚，没有因违法经营被禁止参加政府采购活动的期限未满情形）</w:t>
      </w:r>
      <w:r>
        <w:rPr>
          <w:rFonts w:ascii="宋体" w:hAnsi="宋体"/>
          <w:color w:val="auto"/>
          <w:sz w:val="22"/>
          <w:szCs w:val="24"/>
          <w:highlight w:val="none"/>
        </w:rPr>
        <w:t>。</w:t>
      </w:r>
    </w:p>
    <w:p w14:paraId="46FD9C8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（三）不存在以下情况：</w:t>
      </w:r>
    </w:p>
    <w:p w14:paraId="09E323C2">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1、</w:t>
      </w:r>
      <w:r>
        <w:rPr>
          <w:rFonts w:ascii="宋体" w:hAnsi="宋体"/>
          <w:color w:val="auto"/>
          <w:sz w:val="22"/>
          <w:szCs w:val="24"/>
          <w:highlight w:val="none"/>
        </w:rPr>
        <w:t>单位负责人为同一人或者存在直接控股、管理关系的不同供应商参加同一合同项下的政府采购活动的；</w:t>
      </w:r>
    </w:p>
    <w:p w14:paraId="1C69860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为采购项目提供整体设计、规范编制或者项目管理、监理、检测等服务后再参加该采购项目的其他采购活动的。</w:t>
      </w:r>
    </w:p>
    <w:p w14:paraId="7149531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（四）如有虚假，采购人可取消我方任何资格（投标/中标/签订合同），我方对此无任何异议。</w:t>
      </w:r>
    </w:p>
    <w:p w14:paraId="09DB4F4D">
      <w:pPr>
        <w:keepNext w:val="0"/>
        <w:keepLines w:val="0"/>
        <w:pageBreakBefore w:val="0"/>
        <w:widowControl w:val="0"/>
        <w:kinsoku/>
        <w:wordWrap/>
        <w:overflowPunct/>
        <w:topLinePunct w:val="0"/>
        <w:autoSpaceDE/>
        <w:autoSpaceDN/>
        <w:bidi w:val="0"/>
        <w:adjustRightInd/>
        <w:spacing w:line="360" w:lineRule="exact"/>
        <w:ind w:firstLine="4460" w:firstLineChars="2000"/>
        <w:textAlignment w:val="auto"/>
        <w:rPr>
          <w:rFonts w:ascii="宋体" w:hAnsi="宋体"/>
          <w:color w:val="auto"/>
          <w:sz w:val="22"/>
          <w:szCs w:val="24"/>
          <w:highlight w:val="none"/>
        </w:rPr>
      </w:pPr>
    </w:p>
    <w:p w14:paraId="7D000E2D">
      <w:pPr>
        <w:keepNext w:val="0"/>
        <w:keepLines w:val="0"/>
        <w:pageBreakBefore w:val="0"/>
        <w:widowControl w:val="0"/>
        <w:kinsoku/>
        <w:wordWrap/>
        <w:overflowPunct/>
        <w:topLinePunct w:val="0"/>
        <w:autoSpaceDE/>
        <w:autoSpaceDN/>
        <w:bidi w:val="0"/>
        <w:adjustRightInd/>
        <w:spacing w:line="360" w:lineRule="exact"/>
        <w:ind w:firstLine="4906" w:firstLineChars="2200"/>
        <w:textAlignment w:val="auto"/>
        <w:rPr>
          <w:rFonts w:ascii="宋体" w:hAnsi="宋体"/>
          <w:color w:val="auto"/>
          <w:sz w:val="22"/>
          <w:szCs w:val="24"/>
          <w:highlight w:val="none"/>
        </w:rPr>
      </w:pPr>
      <w:r>
        <w:rPr>
          <w:rFonts w:hint="eastAsia" w:ascii="宋体" w:hAnsi="宋体"/>
          <w:color w:val="auto"/>
          <w:sz w:val="22"/>
          <w:szCs w:val="24"/>
          <w:highlight w:val="none"/>
        </w:rPr>
        <w:t>供应商名称</w:t>
      </w:r>
      <w:r>
        <w:rPr>
          <w:rFonts w:hint="eastAsia" w:ascii="宋体" w:hAnsi="宋体" w:cs="宋体"/>
          <w:color w:val="auto"/>
          <w:sz w:val="22"/>
          <w:szCs w:val="24"/>
          <w:highlight w:val="none"/>
        </w:rPr>
        <w:t>（公章）</w:t>
      </w:r>
      <w:r>
        <w:rPr>
          <w:rFonts w:ascii="宋体" w:hAnsi="宋体"/>
          <w:color w:val="auto"/>
          <w:sz w:val="22"/>
          <w:szCs w:val="24"/>
          <w:highlight w:val="none"/>
        </w:rPr>
        <w:t>：</w:t>
      </w:r>
    </w:p>
    <w:p w14:paraId="072F9DC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r>
        <w:rPr>
          <w:rFonts w:ascii="宋体" w:hAnsi="宋体"/>
          <w:color w:val="auto"/>
          <w:sz w:val="22"/>
          <w:szCs w:val="24"/>
          <w:highlight w:val="none"/>
        </w:rPr>
        <w:t xml:space="preserve">                    </w:t>
      </w:r>
      <w:r>
        <w:rPr>
          <w:rFonts w:hint="eastAsia" w:ascii="宋体" w:hAnsi="宋体"/>
          <w:color w:val="auto"/>
          <w:sz w:val="22"/>
          <w:szCs w:val="24"/>
          <w:highlight w:val="none"/>
        </w:rPr>
        <w:t xml:space="preserve">   日期：  </w:t>
      </w:r>
      <w:r>
        <w:rPr>
          <w:rFonts w:ascii="宋体" w:hAnsi="宋体"/>
          <w:color w:val="auto"/>
          <w:sz w:val="22"/>
          <w:szCs w:val="24"/>
          <w:highlight w:val="none"/>
        </w:rPr>
        <w:t>年</w:t>
      </w:r>
      <w:r>
        <w:rPr>
          <w:rFonts w:hint="eastAsia" w:ascii="宋体" w:hAnsi="宋体"/>
          <w:color w:val="auto"/>
          <w:sz w:val="22"/>
          <w:szCs w:val="24"/>
          <w:highlight w:val="none"/>
        </w:rPr>
        <w:t xml:space="preserve">  月  日</w:t>
      </w:r>
    </w:p>
    <w:p w14:paraId="4CAB98F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p>
    <w:p w14:paraId="713B8D50">
      <w:pPr>
        <w:keepNext w:val="0"/>
        <w:keepLines w:val="0"/>
        <w:pageBreakBefore w:val="0"/>
        <w:widowControl w:val="0"/>
        <w:kinsoku/>
        <w:wordWrap/>
        <w:overflowPunct/>
        <w:topLinePunct w:val="0"/>
        <w:autoSpaceDE/>
        <w:autoSpaceDN/>
        <w:bidi w:val="0"/>
        <w:adjustRightInd/>
        <w:snapToGrid w:val="0"/>
        <w:spacing w:line="360" w:lineRule="exact"/>
        <w:ind w:right="480" w:firstLine="446" w:firstLineChars="200"/>
        <w:jc w:val="left"/>
        <w:textAlignment w:val="auto"/>
        <w:rPr>
          <w:rFonts w:ascii="宋体" w:hAnsi="宋体" w:cs="宋体"/>
          <w:b/>
          <w:bCs/>
          <w:color w:val="auto"/>
          <w:sz w:val="32"/>
          <w:szCs w:val="32"/>
          <w:highlight w:val="none"/>
        </w:rPr>
      </w:pPr>
      <w:r>
        <w:rPr>
          <w:rFonts w:hint="eastAsia" w:ascii="宋体" w:hAnsi="宋体" w:cs="仿宋_GB2312"/>
          <w:color w:val="auto"/>
          <w:sz w:val="22"/>
          <w:highlight w:val="none"/>
        </w:rPr>
        <w:t>注：根据《</w:t>
      </w:r>
      <w:r>
        <w:rPr>
          <w:rFonts w:ascii="宋体" w:hAnsi="宋体" w:cs="仿宋_GB2312"/>
          <w:color w:val="auto"/>
          <w:sz w:val="22"/>
          <w:highlight w:val="none"/>
        </w:rPr>
        <w:t>关于规范政府采购供应商资格设定及资格审查的通知</w:t>
      </w:r>
      <w:r>
        <w:rPr>
          <w:rFonts w:hint="eastAsia" w:ascii="宋体" w:hAnsi="宋体" w:cs="仿宋_GB2312"/>
          <w:color w:val="auto"/>
          <w:sz w:val="22"/>
          <w:highlight w:val="none"/>
        </w:rPr>
        <w:t>》（</w:t>
      </w:r>
      <w:r>
        <w:rPr>
          <w:rFonts w:ascii="宋体" w:hAnsi="宋体" w:cs="仿宋_GB2312"/>
          <w:color w:val="auto"/>
          <w:sz w:val="22"/>
          <w:highlight w:val="none"/>
        </w:rPr>
        <w:t>浙财采监[2013]24号</w:t>
      </w:r>
      <w:r>
        <w:rPr>
          <w:rFonts w:hint="eastAsia" w:ascii="宋体" w:hAnsi="宋体" w:cs="仿宋_GB2312"/>
          <w:color w:val="auto"/>
          <w:sz w:val="22"/>
          <w:highlight w:val="none"/>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cs="仿宋_GB2312"/>
          <w:b/>
          <w:color w:val="auto"/>
          <w:sz w:val="22"/>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78C125AF">
      <w:pPr>
        <w:rPr>
          <w:color w:val="auto"/>
          <w:highlight w:val="none"/>
        </w:rPr>
      </w:pPr>
    </w:p>
    <w:p w14:paraId="6DD65CA0">
      <w:pPr>
        <w:rPr>
          <w:color w:val="auto"/>
          <w:highlight w:val="none"/>
        </w:rPr>
      </w:pPr>
    </w:p>
    <w:p w14:paraId="78068A4A">
      <w:pPr>
        <w:rPr>
          <w:color w:val="auto"/>
          <w:highlight w:val="none"/>
        </w:rPr>
      </w:pPr>
    </w:p>
    <w:p w14:paraId="071EDAD4">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三</w:t>
      </w:r>
    </w:p>
    <w:p w14:paraId="7A91D2E9">
      <w:pPr>
        <w:tabs>
          <w:tab w:val="left" w:pos="1069"/>
          <w:tab w:val="left" w:pos="1080"/>
          <w:tab w:val="left" w:pos="2352"/>
        </w:tabs>
        <w:autoSpaceDE w:val="0"/>
        <w:autoSpaceDN w:val="0"/>
        <w:adjustRightInd w:val="0"/>
        <w:spacing w:line="360" w:lineRule="exact"/>
        <w:jc w:val="center"/>
        <w:rPr>
          <w:rFonts w:ascii="宋体" w:hAnsi="宋体" w:cs="宋体"/>
          <w:b/>
          <w:bCs/>
          <w:color w:val="auto"/>
          <w:sz w:val="36"/>
          <w:highlight w:val="none"/>
          <w:lang w:val="zh-CN"/>
        </w:rPr>
      </w:pPr>
      <w:bookmarkStart w:id="256" w:name="_Toc32552_WPSOffice_Level3"/>
      <w:r>
        <w:rPr>
          <w:rFonts w:hint="eastAsia" w:ascii="宋体" w:hAnsi="宋体" w:cs="宋体"/>
          <w:b/>
          <w:bCs/>
          <w:color w:val="auto"/>
          <w:sz w:val="32"/>
          <w:highlight w:val="none"/>
          <w:lang w:val="zh-CN"/>
        </w:rPr>
        <w:t>法定代表人授权书</w:t>
      </w:r>
      <w:bookmarkEnd w:id="256"/>
    </w:p>
    <w:p w14:paraId="46237D94">
      <w:pPr>
        <w:tabs>
          <w:tab w:val="left" w:pos="1069"/>
          <w:tab w:val="left" w:pos="2352"/>
        </w:tabs>
        <w:autoSpaceDE w:val="0"/>
        <w:autoSpaceDN w:val="0"/>
        <w:adjustRightInd w:val="0"/>
        <w:spacing w:line="360" w:lineRule="exact"/>
        <w:jc w:val="center"/>
        <w:rPr>
          <w:rFonts w:ascii="宋体" w:hAnsi="宋体" w:cs="宋体"/>
          <w:color w:val="auto"/>
          <w:sz w:val="36"/>
          <w:highlight w:val="none"/>
          <w:lang w:val="zh-CN"/>
        </w:rPr>
      </w:pPr>
    </w:p>
    <w:p w14:paraId="1AE98B6B">
      <w:pPr>
        <w:tabs>
          <w:tab w:val="left" w:pos="1069"/>
          <w:tab w:val="left" w:pos="2352"/>
        </w:tabs>
        <w:spacing w:line="400" w:lineRule="atLeast"/>
        <w:rPr>
          <w:rFonts w:ascii="宋体" w:hAnsi="宋体" w:cs="宋体"/>
          <w:color w:val="auto"/>
          <w:sz w:val="22"/>
          <w:highlight w:val="none"/>
        </w:rPr>
      </w:pPr>
      <w:r>
        <w:rPr>
          <w:rFonts w:hint="eastAsia" w:ascii="宋体" w:hAnsi="宋体" w:cs="宋体"/>
          <w:color w:val="auto"/>
          <w:sz w:val="22"/>
          <w:highlight w:val="none"/>
          <w:u w:val="single"/>
          <w:lang w:eastAsia="zh-CN"/>
        </w:rPr>
        <w:t>泰顺县司前畲族人民政府</w:t>
      </w:r>
      <w:r>
        <w:rPr>
          <w:rFonts w:hint="eastAsia" w:ascii="宋体" w:hAnsi="宋体" w:cs="宋体"/>
          <w:color w:val="auto"/>
          <w:sz w:val="22"/>
          <w:highlight w:val="none"/>
          <w:lang w:val="zh-CN"/>
        </w:rPr>
        <w:t>：</w:t>
      </w:r>
    </w:p>
    <w:p w14:paraId="759FF5CD">
      <w:pPr>
        <w:tabs>
          <w:tab w:val="left" w:pos="1069"/>
          <w:tab w:val="left" w:pos="2352"/>
          <w:tab w:val="left" w:pos="3850"/>
        </w:tabs>
        <w:snapToGrid w:val="0"/>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本授权委托书声明：我</w:t>
      </w:r>
      <w:r>
        <w:rPr>
          <w:rFonts w:hint="eastAsia" w:ascii="宋体" w:hAnsi="宋体" w:cs="宋体"/>
          <w:color w:val="auto"/>
          <w:sz w:val="22"/>
          <w:highlight w:val="none"/>
          <w:u w:val="single"/>
        </w:rPr>
        <w:t>（法定代表人姓名）</w:t>
      </w:r>
      <w:r>
        <w:rPr>
          <w:rFonts w:hint="eastAsia" w:ascii="宋体" w:hAnsi="宋体" w:cs="宋体"/>
          <w:color w:val="auto"/>
          <w:sz w:val="22"/>
          <w:highlight w:val="none"/>
        </w:rPr>
        <w:t>系</w:t>
      </w:r>
      <w:r>
        <w:rPr>
          <w:rFonts w:hint="eastAsia" w:ascii="宋体" w:hAnsi="宋体" w:cs="宋体"/>
          <w:color w:val="auto"/>
          <w:sz w:val="22"/>
          <w:highlight w:val="none"/>
          <w:u w:val="single"/>
        </w:rPr>
        <w:t>（供应商名称）</w:t>
      </w:r>
      <w:r>
        <w:rPr>
          <w:rFonts w:hint="eastAsia" w:ascii="宋体" w:hAnsi="宋体" w:cs="宋体"/>
          <w:color w:val="auto"/>
          <w:sz w:val="22"/>
          <w:highlight w:val="none"/>
        </w:rPr>
        <w:t>的法定代表人，现授权委托</w:t>
      </w:r>
      <w:r>
        <w:rPr>
          <w:rFonts w:hint="eastAsia" w:ascii="宋体" w:hAnsi="宋体" w:cs="宋体"/>
          <w:color w:val="auto"/>
          <w:sz w:val="22"/>
          <w:highlight w:val="none"/>
          <w:u w:val="single"/>
        </w:rPr>
        <w:t>（单位名称）</w:t>
      </w:r>
      <w:r>
        <w:rPr>
          <w:rFonts w:hint="eastAsia" w:ascii="宋体" w:hAnsi="宋体" w:cs="宋体"/>
          <w:color w:val="auto"/>
          <w:sz w:val="22"/>
          <w:highlight w:val="none"/>
        </w:rPr>
        <w:t>的</w:t>
      </w:r>
      <w:r>
        <w:rPr>
          <w:rFonts w:hint="eastAsia" w:ascii="宋体" w:hAnsi="宋体" w:cs="宋体"/>
          <w:color w:val="auto"/>
          <w:sz w:val="22"/>
          <w:highlight w:val="none"/>
          <w:u w:val="single"/>
        </w:rPr>
        <w:t>（授权代表姓名）</w:t>
      </w:r>
      <w:r>
        <w:rPr>
          <w:rFonts w:hint="eastAsia" w:ascii="宋体" w:hAnsi="宋体" w:cs="宋体"/>
          <w:color w:val="auto"/>
          <w:sz w:val="22"/>
          <w:highlight w:val="none"/>
        </w:rPr>
        <w:t>为我公司法定代表人授权代表，参加贵处组织的</w:t>
      </w:r>
      <w:r>
        <w:rPr>
          <w:rFonts w:hint="eastAsia" w:ascii="宋体" w:hAnsi="宋体" w:cs="宋体"/>
          <w:color w:val="auto"/>
          <w:sz w:val="22"/>
          <w:highlight w:val="none"/>
          <w:u w:val="single"/>
          <w:lang w:eastAsia="zh-CN"/>
        </w:rPr>
        <w:t>2024年泰顺县司前畲族镇黄桥村晓燕自然村上燕农田宜机化改造项目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TSCG202501004</w:t>
      </w:r>
      <w:r>
        <w:rPr>
          <w:rFonts w:hint="eastAsia" w:ascii="宋体" w:hAnsi="宋体" w:cs="宋体"/>
          <w:color w:val="auto"/>
          <w:sz w:val="22"/>
          <w:highlight w:val="none"/>
          <w:u w:val="single"/>
        </w:rPr>
        <w:t>）</w:t>
      </w:r>
      <w:r>
        <w:rPr>
          <w:rFonts w:hint="eastAsia" w:ascii="宋体" w:hAnsi="宋体" w:cs="宋体"/>
          <w:color w:val="auto"/>
          <w:sz w:val="22"/>
          <w:highlight w:val="none"/>
        </w:rPr>
        <w:t>项目投标，全权处理本次招投标活动中的一切事宜，我承认授权代表全权代表我所签署的本项目的投标（响应）文件的内容。</w:t>
      </w:r>
    </w:p>
    <w:p w14:paraId="0BFA44BA">
      <w:pPr>
        <w:tabs>
          <w:tab w:val="left" w:pos="1069"/>
          <w:tab w:val="left" w:pos="2352"/>
        </w:tabs>
        <w:spacing w:line="400" w:lineRule="atLeast"/>
        <w:ind w:firstLine="446" w:firstLineChars="200"/>
        <w:rPr>
          <w:rFonts w:ascii="宋体" w:hAnsi="宋体" w:cs="宋体"/>
          <w:color w:val="auto"/>
          <w:sz w:val="22"/>
          <w:highlight w:val="none"/>
        </w:rPr>
      </w:pPr>
    </w:p>
    <w:p w14:paraId="3A9B8212">
      <w:pPr>
        <w:tabs>
          <w:tab w:val="left" w:pos="1069"/>
          <w:tab w:val="left" w:pos="2352"/>
        </w:tabs>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授权代表无转授权，特此授权。</w:t>
      </w:r>
    </w:p>
    <w:p w14:paraId="5C57AD58">
      <w:pPr>
        <w:tabs>
          <w:tab w:val="left" w:pos="1069"/>
          <w:tab w:val="left" w:pos="2352"/>
        </w:tabs>
        <w:spacing w:line="400" w:lineRule="atLeast"/>
        <w:rPr>
          <w:rFonts w:ascii="宋体" w:hAnsi="宋体" w:cs="宋体"/>
          <w:color w:val="auto"/>
          <w:sz w:val="22"/>
          <w:highlight w:val="none"/>
        </w:rPr>
      </w:pPr>
    </w:p>
    <w:p w14:paraId="119E9C66">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授权代表：</w:t>
      </w:r>
      <w:r>
        <w:rPr>
          <w:rFonts w:hint="eastAsia" w:ascii="宋体" w:hAnsi="宋体" w:cs="宋体"/>
          <w:color w:val="auto"/>
          <w:sz w:val="22"/>
          <w:highlight w:val="none"/>
          <w:u w:val="single"/>
        </w:rPr>
        <w:t>（签字）</w:t>
      </w:r>
      <w:r>
        <w:rPr>
          <w:rFonts w:hint="eastAsia" w:ascii="宋体" w:hAnsi="宋体" w:cs="宋体"/>
          <w:color w:val="auto"/>
          <w:sz w:val="22"/>
          <w:highlight w:val="none"/>
        </w:rPr>
        <w:t>性别：</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年龄：</w:t>
      </w:r>
      <w:r>
        <w:rPr>
          <w:rFonts w:hint="eastAsia" w:ascii="宋体" w:hAnsi="宋体" w:cs="宋体"/>
          <w:color w:val="auto"/>
          <w:sz w:val="22"/>
          <w:highlight w:val="none"/>
          <w:u w:val="single"/>
        </w:rPr>
        <w:t xml:space="preserve">        </w:t>
      </w:r>
    </w:p>
    <w:p w14:paraId="01CD4246">
      <w:pPr>
        <w:tabs>
          <w:tab w:val="left" w:pos="1069"/>
          <w:tab w:val="left" w:pos="2352"/>
        </w:tabs>
        <w:spacing w:line="400" w:lineRule="atLeast"/>
        <w:ind w:firstLine="2992" w:firstLineChars="1342"/>
        <w:rPr>
          <w:rFonts w:ascii="宋体" w:hAnsi="宋体" w:cs="宋体"/>
          <w:color w:val="auto"/>
          <w:sz w:val="22"/>
          <w:highlight w:val="none"/>
          <w:u w:val="single"/>
        </w:rPr>
      </w:pPr>
    </w:p>
    <w:p w14:paraId="0F025DAA">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详细通讯地址：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邮政编码：</w:t>
      </w:r>
      <w:r>
        <w:rPr>
          <w:rFonts w:hint="eastAsia" w:ascii="宋体" w:hAnsi="宋体" w:cs="宋体"/>
          <w:color w:val="auto"/>
          <w:sz w:val="22"/>
          <w:highlight w:val="none"/>
          <w:u w:val="single"/>
        </w:rPr>
        <w:t xml:space="preserve">        </w:t>
      </w:r>
    </w:p>
    <w:p w14:paraId="7F330385">
      <w:pPr>
        <w:tabs>
          <w:tab w:val="left" w:pos="1069"/>
          <w:tab w:val="left" w:pos="2352"/>
        </w:tabs>
        <w:spacing w:line="400" w:lineRule="atLeast"/>
        <w:ind w:firstLine="2992" w:firstLineChars="1342"/>
        <w:rPr>
          <w:rFonts w:ascii="宋体" w:hAnsi="宋体" w:cs="宋体"/>
          <w:color w:val="auto"/>
          <w:sz w:val="22"/>
          <w:highlight w:val="none"/>
          <w:u w:val="single"/>
        </w:rPr>
      </w:pPr>
    </w:p>
    <w:p w14:paraId="3BECB2D0">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传真：</w:t>
      </w:r>
      <w:r>
        <w:rPr>
          <w:rFonts w:hint="eastAsia" w:ascii="宋体" w:hAnsi="宋体" w:cs="宋体"/>
          <w:color w:val="auto"/>
          <w:sz w:val="22"/>
          <w:highlight w:val="none"/>
          <w:u w:val="single"/>
        </w:rPr>
        <w:t xml:space="preserve">        </w:t>
      </w:r>
    </w:p>
    <w:p w14:paraId="7094DDE8">
      <w:pPr>
        <w:tabs>
          <w:tab w:val="left" w:pos="1069"/>
          <w:tab w:val="left" w:pos="2352"/>
        </w:tabs>
        <w:spacing w:line="400" w:lineRule="atLeast"/>
        <w:ind w:left="1" w:firstLine="427" w:firstLineChars="192"/>
        <w:rPr>
          <w:rFonts w:ascii="宋体" w:hAnsi="宋体" w:cs="宋体"/>
          <w:color w:val="auto"/>
          <w:sz w:val="22"/>
          <w:highlight w:val="none"/>
        </w:rPr>
      </w:pPr>
    </w:p>
    <w:p w14:paraId="1D7EBBA3">
      <w:pPr>
        <w:tabs>
          <w:tab w:val="left" w:pos="1069"/>
          <w:tab w:val="left" w:pos="2352"/>
        </w:tabs>
        <w:spacing w:line="400" w:lineRule="atLeast"/>
        <w:ind w:left="1" w:firstLine="2985" w:firstLineChars="1339"/>
        <w:rPr>
          <w:rFonts w:ascii="宋体" w:hAnsi="宋体" w:cs="宋体"/>
          <w:color w:val="auto"/>
          <w:sz w:val="22"/>
          <w:highlight w:val="none"/>
        </w:rPr>
      </w:pPr>
      <w:r>
        <w:rPr>
          <w:rFonts w:hint="eastAsia" w:ascii="宋体" w:hAnsi="宋体" w:cs="宋体"/>
          <w:color w:val="auto"/>
          <w:sz w:val="22"/>
          <w:highlight w:val="none"/>
        </w:rPr>
        <w:t>供应商：</w:t>
      </w:r>
      <w:r>
        <w:rPr>
          <w:rFonts w:hint="eastAsia" w:ascii="宋体" w:hAnsi="宋体" w:cs="宋体"/>
          <w:color w:val="auto"/>
          <w:sz w:val="22"/>
          <w:highlight w:val="none"/>
          <w:u w:val="single"/>
        </w:rPr>
        <w:t xml:space="preserve">（盖章）       </w:t>
      </w:r>
    </w:p>
    <w:p w14:paraId="57284CF6">
      <w:pPr>
        <w:tabs>
          <w:tab w:val="left" w:pos="1069"/>
          <w:tab w:val="left" w:pos="2352"/>
        </w:tabs>
        <w:spacing w:line="400" w:lineRule="atLeast"/>
        <w:ind w:left="1" w:firstLine="427" w:firstLineChars="192"/>
        <w:rPr>
          <w:rFonts w:ascii="宋体" w:hAnsi="宋体" w:cs="宋体"/>
          <w:color w:val="auto"/>
          <w:sz w:val="22"/>
          <w:highlight w:val="none"/>
        </w:rPr>
      </w:pPr>
    </w:p>
    <w:p w14:paraId="7605F99E">
      <w:pPr>
        <w:tabs>
          <w:tab w:val="left" w:pos="1069"/>
          <w:tab w:val="left" w:pos="2352"/>
        </w:tabs>
        <w:spacing w:line="400" w:lineRule="atLeast"/>
        <w:ind w:left="2100" w:right="440"/>
        <w:jc w:val="center"/>
        <w:rPr>
          <w:rFonts w:ascii="宋体" w:hAnsi="宋体" w:cs="宋体"/>
          <w:color w:val="auto"/>
          <w:sz w:val="22"/>
          <w:highlight w:val="none"/>
        </w:rPr>
      </w:pPr>
      <w:r>
        <w:rPr>
          <w:rFonts w:hint="eastAsia" w:ascii="宋体" w:hAnsi="宋体" w:cs="宋体"/>
          <w:color w:val="auto"/>
          <w:sz w:val="22"/>
          <w:highlight w:val="none"/>
        </w:rPr>
        <w:t>法定代表人：</w:t>
      </w:r>
      <w:r>
        <w:rPr>
          <w:rFonts w:hint="eastAsia" w:ascii="宋体" w:hAnsi="宋体" w:cs="宋体"/>
          <w:color w:val="auto"/>
          <w:sz w:val="22"/>
          <w:highlight w:val="none"/>
          <w:u w:val="single"/>
        </w:rPr>
        <w:t>（签字或盖章）</w:t>
      </w:r>
    </w:p>
    <w:p w14:paraId="52B084DC">
      <w:pPr>
        <w:tabs>
          <w:tab w:val="left" w:pos="1069"/>
          <w:tab w:val="left" w:pos="2352"/>
        </w:tabs>
        <w:spacing w:line="400" w:lineRule="atLeast"/>
        <w:ind w:left="2699"/>
        <w:rPr>
          <w:rFonts w:ascii="宋体" w:hAnsi="宋体" w:cs="宋体"/>
          <w:color w:val="auto"/>
          <w:sz w:val="22"/>
          <w:highlight w:val="none"/>
        </w:rPr>
      </w:pPr>
    </w:p>
    <w:p w14:paraId="37C566EF">
      <w:pPr>
        <w:tabs>
          <w:tab w:val="left" w:pos="1069"/>
          <w:tab w:val="left" w:pos="2352"/>
        </w:tabs>
        <w:spacing w:line="400" w:lineRule="atLeast"/>
        <w:ind w:right="440" w:firstLine="3345" w:firstLineChars="1500"/>
        <w:jc w:val="center"/>
        <w:rPr>
          <w:rFonts w:ascii="宋体" w:hAnsi="宋体" w:cs="宋体"/>
          <w:color w:val="auto"/>
          <w:sz w:val="22"/>
          <w:highlight w:val="none"/>
        </w:rPr>
      </w:pPr>
      <w:r>
        <w:rPr>
          <w:rFonts w:hint="eastAsia" w:ascii="宋体" w:hAnsi="宋体" w:cs="宋体"/>
          <w:color w:val="auto"/>
          <w:sz w:val="22"/>
          <w:highlight w:val="none"/>
        </w:rPr>
        <w:t>授权委托日期：</w:t>
      </w:r>
      <w:r>
        <w:rPr>
          <w:rFonts w:hint="eastAsia" w:ascii="宋体" w:hAnsi="宋体" w:cs="宋体"/>
          <w:color w:val="auto"/>
          <w:sz w:val="22"/>
          <w:highlight w:val="none"/>
          <w:u w:val="single"/>
        </w:rPr>
        <w:t xml:space="preserve">        年  月  日</w:t>
      </w:r>
    </w:p>
    <w:p w14:paraId="7C6E74BE">
      <w:pPr>
        <w:tabs>
          <w:tab w:val="left" w:pos="1069"/>
          <w:tab w:val="left" w:pos="2352"/>
        </w:tabs>
        <w:spacing w:line="360" w:lineRule="exact"/>
        <w:ind w:left="2699"/>
        <w:rPr>
          <w:rFonts w:ascii="宋体" w:hAnsi="宋体" w:cs="宋体"/>
          <w:color w:val="auto"/>
          <w:sz w:val="22"/>
          <w:highlight w:val="none"/>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1C0A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tcPr>
          <w:p w14:paraId="22CFA5CA">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11800539">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粘贴法人授权代表身份证复印影印件</w:t>
            </w:r>
          </w:p>
          <w:p w14:paraId="5E49BF0D">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71EF089E">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11077A0A">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2AC06AF5">
      <w:pPr>
        <w:pStyle w:val="12"/>
        <w:tabs>
          <w:tab w:val="left" w:pos="1069"/>
          <w:tab w:val="left" w:pos="2352"/>
        </w:tabs>
        <w:adjustRightInd w:val="0"/>
        <w:snapToGrid w:val="0"/>
        <w:spacing w:line="360" w:lineRule="exact"/>
        <w:jc w:val="center"/>
        <w:rPr>
          <w:rFonts w:hAnsi="宋体" w:cs="宋体"/>
          <w:color w:val="auto"/>
          <w:sz w:val="22"/>
          <w:highlight w:val="none"/>
          <w:lang w:val="zh-CN"/>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109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356" w:type="dxa"/>
          </w:tcPr>
          <w:p w14:paraId="3866C5E0">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04C60FB4">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粘贴法人身份证复印影印件</w:t>
            </w:r>
          </w:p>
          <w:p w14:paraId="5C76E87C">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1C6D4E91">
      <w:pPr>
        <w:pStyle w:val="3"/>
        <w:rPr>
          <w:color w:val="auto"/>
          <w:sz w:val="24"/>
          <w:szCs w:val="24"/>
          <w:highlight w:val="none"/>
          <w:u w:val="single"/>
        </w:rPr>
      </w:pPr>
      <w:r>
        <w:rPr>
          <w:rFonts w:hint="eastAsia" w:ascii="宋体" w:hAnsi="宋体" w:cs="宋体"/>
          <w:b/>
          <w:bCs/>
          <w:color w:val="auto"/>
          <w:sz w:val="24"/>
          <w:szCs w:val="24"/>
          <w:highlight w:val="none"/>
          <w:u w:val="single"/>
        </w:rPr>
        <w:t>注：若是法定代表人直接参与投标的，仅需提供法定代表人身份证复印影印件。</w:t>
      </w:r>
    </w:p>
    <w:p w14:paraId="72C87D15">
      <w:pPr>
        <w:tabs>
          <w:tab w:val="left" w:pos="1069"/>
          <w:tab w:val="left" w:pos="2352"/>
        </w:tabs>
        <w:spacing w:line="360" w:lineRule="exact"/>
        <w:jc w:val="left"/>
        <w:rPr>
          <w:rFonts w:ascii="宋体" w:hAnsi="宋体" w:cs="宋体"/>
          <w:b/>
          <w:bCs/>
          <w:color w:val="auto"/>
          <w:sz w:val="30"/>
          <w:highlight w:val="none"/>
        </w:rPr>
      </w:pPr>
    </w:p>
    <w:p w14:paraId="31E33D05">
      <w:pPr>
        <w:tabs>
          <w:tab w:val="left" w:pos="1069"/>
          <w:tab w:val="left" w:pos="2352"/>
        </w:tabs>
        <w:snapToGrid w:val="0"/>
        <w:spacing w:line="440" w:lineRule="exact"/>
        <w:rPr>
          <w:rFonts w:ascii="宋体" w:hAnsi="宋体" w:cs="宋体"/>
          <w:b/>
          <w:bCs/>
          <w:color w:val="auto"/>
          <w:sz w:val="22"/>
          <w:highlight w:val="none"/>
        </w:rPr>
      </w:pPr>
    </w:p>
    <w:p w14:paraId="487ED19B">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三</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部分投标文件格式</w:t>
      </w:r>
    </w:p>
    <w:p w14:paraId="5597073C">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3C1DAA0">
      <w:pPr>
        <w:tabs>
          <w:tab w:val="left" w:pos="1069"/>
          <w:tab w:val="left" w:pos="2352"/>
        </w:tabs>
        <w:snapToGrid w:val="0"/>
        <w:spacing w:line="440" w:lineRule="exact"/>
        <w:jc w:val="center"/>
        <w:rPr>
          <w:rFonts w:ascii="宋体" w:hAnsi="宋体" w:cs="宋体"/>
          <w:b/>
          <w:color w:val="auto"/>
          <w:sz w:val="32"/>
          <w:szCs w:val="32"/>
          <w:highlight w:val="none"/>
        </w:rPr>
      </w:pPr>
    </w:p>
    <w:p w14:paraId="7D5CDBE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2024年泰顺县司前畲族镇黄桥村晓燕自然村上燕农田宜机化改造项目</w:t>
      </w:r>
    </w:p>
    <w:p w14:paraId="3BFD6A8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DF4C31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（商 务 技 术 部 分）</w:t>
      </w:r>
    </w:p>
    <w:p w14:paraId="1957205B">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269F44A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6D6AA4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D939303">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TSCG202501004</w:t>
            </w:r>
          </w:p>
        </w:tc>
      </w:tr>
      <w:tr w14:paraId="2D9227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3FE3B4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泰顺县司前畲族人民政府</w:t>
            </w:r>
          </w:p>
        </w:tc>
      </w:tr>
      <w:tr w14:paraId="7F62A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4E8A9F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5164E0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390FD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77611F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90BDF2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0173A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12FD69A">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760D4636">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 xml:space="preserve"> </w:t>
      </w:r>
    </w:p>
    <w:p w14:paraId="3EF752BE">
      <w:pPr>
        <w:pStyle w:val="11"/>
        <w:tabs>
          <w:tab w:val="left" w:pos="1069"/>
          <w:tab w:val="left" w:pos="2352"/>
        </w:tabs>
        <w:ind w:left="0" w:right="-257"/>
        <w:rPr>
          <w:color w:val="auto"/>
          <w:highlight w:val="none"/>
        </w:rPr>
      </w:pPr>
    </w:p>
    <w:p w14:paraId="6D7B2C8C">
      <w:pPr>
        <w:tabs>
          <w:tab w:val="left" w:pos="1069"/>
          <w:tab w:val="left" w:pos="2352"/>
        </w:tabs>
        <w:spacing w:line="360" w:lineRule="exact"/>
        <w:jc w:val="left"/>
        <w:rPr>
          <w:rFonts w:ascii="宋体" w:hAnsi="宋体" w:cs="宋体"/>
          <w:b/>
          <w:bCs/>
          <w:color w:val="auto"/>
          <w:sz w:val="30"/>
          <w:highlight w:val="none"/>
        </w:rPr>
      </w:pPr>
    </w:p>
    <w:p w14:paraId="10C94145">
      <w:pPr>
        <w:tabs>
          <w:tab w:val="left" w:pos="1069"/>
          <w:tab w:val="left" w:pos="2352"/>
        </w:tabs>
        <w:spacing w:line="360" w:lineRule="exact"/>
        <w:jc w:val="left"/>
        <w:rPr>
          <w:rFonts w:ascii="宋体" w:hAnsi="宋体" w:cs="宋体"/>
          <w:b/>
          <w:bCs/>
          <w:color w:val="auto"/>
          <w:sz w:val="30"/>
          <w:highlight w:val="none"/>
        </w:rPr>
      </w:pPr>
    </w:p>
    <w:p w14:paraId="326E95B8">
      <w:pPr>
        <w:tabs>
          <w:tab w:val="left" w:pos="1069"/>
          <w:tab w:val="left" w:pos="2352"/>
        </w:tabs>
        <w:spacing w:line="360" w:lineRule="exact"/>
        <w:jc w:val="left"/>
        <w:rPr>
          <w:rFonts w:ascii="宋体" w:hAnsi="宋体" w:cs="宋体"/>
          <w:b/>
          <w:bCs/>
          <w:color w:val="auto"/>
          <w:sz w:val="30"/>
          <w:highlight w:val="none"/>
        </w:rPr>
      </w:pPr>
    </w:p>
    <w:p w14:paraId="0D311747">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四</w:t>
      </w:r>
    </w:p>
    <w:p w14:paraId="7608D3A1">
      <w:pPr>
        <w:tabs>
          <w:tab w:val="left" w:pos="1069"/>
          <w:tab w:val="left" w:pos="2352"/>
        </w:tabs>
        <w:autoSpaceDE w:val="0"/>
        <w:autoSpaceDN w:val="0"/>
        <w:adjustRightInd w:val="0"/>
        <w:spacing w:line="360" w:lineRule="exact"/>
        <w:jc w:val="center"/>
        <w:rPr>
          <w:rFonts w:ascii="宋体" w:hAnsi="宋体" w:cs="宋体"/>
          <w:b/>
          <w:bCs/>
          <w:color w:val="auto"/>
          <w:sz w:val="30"/>
          <w:szCs w:val="30"/>
          <w:highlight w:val="none"/>
          <w:lang w:val="zh-CN"/>
        </w:rPr>
      </w:pPr>
      <w:bookmarkStart w:id="257" w:name="_Toc30988_WPSOffice_Level3"/>
      <w:r>
        <w:rPr>
          <w:rFonts w:hint="eastAsia" w:ascii="宋体" w:hAnsi="宋体" w:cs="宋体"/>
          <w:b/>
          <w:bCs/>
          <w:color w:val="auto"/>
          <w:sz w:val="30"/>
          <w:szCs w:val="30"/>
          <w:highlight w:val="none"/>
        </w:rPr>
        <w:t>报价</w:t>
      </w:r>
      <w:r>
        <w:rPr>
          <w:rFonts w:hint="eastAsia" w:ascii="宋体" w:hAnsi="宋体" w:cs="宋体"/>
          <w:b/>
          <w:bCs/>
          <w:color w:val="auto"/>
          <w:sz w:val="30"/>
          <w:szCs w:val="30"/>
          <w:highlight w:val="none"/>
          <w:lang w:val="zh-CN"/>
        </w:rPr>
        <w:t>函</w:t>
      </w:r>
      <w:bookmarkEnd w:id="257"/>
    </w:p>
    <w:p w14:paraId="1E99275F">
      <w:pPr>
        <w:tabs>
          <w:tab w:val="left" w:pos="1069"/>
          <w:tab w:val="left" w:pos="2352"/>
        </w:tabs>
        <w:autoSpaceDE w:val="0"/>
        <w:autoSpaceDN w:val="0"/>
        <w:adjustRightInd w:val="0"/>
        <w:spacing w:line="360" w:lineRule="exact"/>
        <w:rPr>
          <w:rFonts w:ascii="宋体" w:hAnsi="宋体" w:cs="宋体"/>
          <w:color w:val="auto"/>
          <w:sz w:val="36"/>
          <w:highlight w:val="none"/>
          <w:lang w:val="zh-CN"/>
        </w:rPr>
      </w:pPr>
    </w:p>
    <w:p w14:paraId="66EB3DC8">
      <w:pPr>
        <w:pStyle w:val="12"/>
        <w:tabs>
          <w:tab w:val="left" w:pos="1069"/>
          <w:tab w:val="left" w:pos="2352"/>
        </w:tabs>
        <w:rPr>
          <w:rFonts w:hAnsi="宋体" w:cs="宋体"/>
          <w:color w:val="auto"/>
          <w:sz w:val="22"/>
          <w:highlight w:val="none"/>
          <w:u w:val="single"/>
        </w:rPr>
      </w:pPr>
      <w:r>
        <w:rPr>
          <w:rFonts w:hint="eastAsia" w:hAnsi="宋体" w:cs="宋体"/>
          <w:color w:val="auto"/>
          <w:sz w:val="22"/>
          <w:highlight w:val="none"/>
          <w:u w:val="single"/>
          <w:lang w:eastAsia="zh-CN"/>
        </w:rPr>
        <w:t>泰顺县司前畲族人民政府</w:t>
      </w:r>
      <w:r>
        <w:rPr>
          <w:rFonts w:hint="eastAsia" w:hAnsi="宋体" w:cs="宋体"/>
          <w:color w:val="auto"/>
          <w:sz w:val="22"/>
          <w:highlight w:val="none"/>
          <w:u w:val="single"/>
        </w:rPr>
        <w:t>：</w:t>
      </w:r>
    </w:p>
    <w:p w14:paraId="1571CC5D">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u w:val="single"/>
          <w:lang w:val="zh-CN"/>
        </w:rPr>
        <w:t>（供应商全称）授权（授权代表名称）（职务、职称）</w:t>
      </w:r>
      <w:r>
        <w:rPr>
          <w:rFonts w:hint="eastAsia" w:ascii="宋体" w:hAnsi="宋体" w:cs="宋体"/>
          <w:color w:val="auto"/>
          <w:sz w:val="22"/>
          <w:highlight w:val="none"/>
          <w:lang w:val="zh-CN"/>
        </w:rPr>
        <w:t>为授权代表，参加贵方组织的</w:t>
      </w:r>
      <w:r>
        <w:rPr>
          <w:rFonts w:hint="eastAsia" w:ascii="宋体" w:hAnsi="宋体" w:cs="宋体"/>
          <w:color w:val="auto"/>
          <w:sz w:val="22"/>
          <w:highlight w:val="none"/>
          <w:u w:val="single"/>
          <w:lang w:eastAsia="zh-CN"/>
        </w:rPr>
        <w:t>2024年泰顺县司前畲族镇黄桥村晓燕自然村上燕农田宜机化改造项目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TSCG202501004</w:t>
      </w:r>
      <w:r>
        <w:rPr>
          <w:rFonts w:hint="eastAsia" w:ascii="宋体" w:hAnsi="宋体" w:cs="宋体"/>
          <w:color w:val="auto"/>
          <w:sz w:val="22"/>
          <w:highlight w:val="none"/>
          <w:u w:val="single"/>
        </w:rPr>
        <w:t>）</w:t>
      </w:r>
      <w:r>
        <w:rPr>
          <w:rFonts w:hint="eastAsia" w:ascii="宋体" w:hAnsi="宋体" w:cs="宋体"/>
          <w:color w:val="auto"/>
          <w:sz w:val="22"/>
          <w:highlight w:val="none"/>
          <w:lang w:val="zh-CN"/>
        </w:rPr>
        <w:t>招标的有关活动，并对</w:t>
      </w:r>
      <w:r>
        <w:rPr>
          <w:rFonts w:hint="eastAsia" w:ascii="宋体" w:hAnsi="宋体" w:cs="宋体"/>
          <w:color w:val="auto"/>
          <w:sz w:val="22"/>
          <w:highlight w:val="none"/>
          <w:u w:val="single"/>
          <w:lang w:eastAsia="zh-CN"/>
        </w:rPr>
        <w:t>2024年泰顺县司前畲族镇黄桥村晓燕自然村上燕农田宜机化改造项目</w:t>
      </w:r>
      <w:r>
        <w:rPr>
          <w:rFonts w:hint="eastAsia" w:ascii="宋体" w:hAnsi="宋体" w:cs="宋体"/>
          <w:color w:val="auto"/>
          <w:sz w:val="22"/>
          <w:highlight w:val="none"/>
          <w:lang w:val="zh-CN"/>
        </w:rPr>
        <w:t>进行投标。为此：</w:t>
      </w:r>
    </w:p>
    <w:p w14:paraId="4528644A">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1、提供供应商须知规定的全部投标（响应）文件：</w:t>
      </w:r>
    </w:p>
    <w:p w14:paraId="3106BD60">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“电子加密投标文件”：在线上传递交。</w:t>
      </w:r>
    </w:p>
    <w:p w14:paraId="39CE44E8">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2、保证遵守竞争性磋商文件中的有关规定和收费标准。</w:t>
      </w:r>
    </w:p>
    <w:p w14:paraId="2A291DA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3、保证忠实地执行采购人、中标（成交）供应商双方所签的合同，并承担合同规定的责任义务。</w:t>
      </w:r>
    </w:p>
    <w:p w14:paraId="0E5725A6">
      <w:pPr>
        <w:pStyle w:val="12"/>
        <w:tabs>
          <w:tab w:val="left" w:pos="1069"/>
          <w:tab w:val="left" w:pos="2352"/>
        </w:tabs>
        <w:snapToGrid w:val="0"/>
        <w:spacing w:line="410" w:lineRule="atLeast"/>
        <w:ind w:firstLine="446" w:firstLineChars="200"/>
        <w:rPr>
          <w:rFonts w:hAnsi="宋体" w:cs="宋体"/>
          <w:color w:val="auto"/>
          <w:sz w:val="22"/>
          <w:highlight w:val="none"/>
        </w:rPr>
      </w:pPr>
      <w:r>
        <w:rPr>
          <w:rFonts w:hint="eastAsia" w:hAnsi="宋体" w:cs="宋体"/>
          <w:color w:val="auto"/>
          <w:sz w:val="22"/>
          <w:highlight w:val="none"/>
          <w:lang w:val="zh-CN"/>
        </w:rPr>
        <w:t>4、我方对完工期承诺如下：</w:t>
      </w:r>
      <w:r>
        <w:rPr>
          <w:rFonts w:hint="eastAsia" w:hAnsi="宋体" w:cs="宋体"/>
          <w:color w:val="auto"/>
          <w:sz w:val="22"/>
          <w:highlight w:val="none"/>
        </w:rPr>
        <w:t>按竞争性磋商文件规定期限交货并通过采购人验收，逾期采购人有权拒绝。</w:t>
      </w:r>
    </w:p>
    <w:p w14:paraId="1292DC6E">
      <w:pPr>
        <w:tabs>
          <w:tab w:val="left" w:pos="1069"/>
          <w:tab w:val="left" w:pos="2352"/>
        </w:tabs>
        <w:autoSpaceDE w:val="0"/>
        <w:autoSpaceDN w:val="0"/>
        <w:adjustRightInd w:val="0"/>
        <w:spacing w:line="440" w:lineRule="atLeast"/>
        <w:ind w:firstLine="450"/>
        <w:rPr>
          <w:rFonts w:ascii="宋体" w:hAnsi="宋体" w:cs="宋体"/>
          <w:color w:val="auto"/>
          <w:sz w:val="22"/>
          <w:highlight w:val="none"/>
          <w:lang w:val="zh-CN"/>
        </w:rPr>
      </w:pPr>
      <w:r>
        <w:rPr>
          <w:rFonts w:hint="eastAsia" w:ascii="宋体" w:hAnsi="宋体" w:cs="宋体"/>
          <w:color w:val="auto"/>
          <w:sz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31A39B14">
      <w:pPr>
        <w:tabs>
          <w:tab w:val="left" w:pos="1069"/>
          <w:tab w:val="left" w:pos="2352"/>
        </w:tabs>
        <w:spacing w:line="340" w:lineRule="exact"/>
        <w:ind w:firstLine="448" w:firstLineChars="201"/>
        <w:rPr>
          <w:rFonts w:ascii="宋体" w:hAnsi="宋体" w:cs="宋体"/>
          <w:color w:val="auto"/>
          <w:sz w:val="22"/>
          <w:highlight w:val="none"/>
        </w:rPr>
      </w:pPr>
      <w:r>
        <w:rPr>
          <w:rFonts w:hint="eastAsia" w:ascii="宋体" w:hAnsi="宋体" w:cs="宋体"/>
          <w:color w:val="auto"/>
          <w:sz w:val="22"/>
          <w:highlight w:val="none"/>
        </w:rPr>
        <w:t>6、利益冲突：近三年内直至目前，我公司与本项目的采购人、招标代理机构没有任何的隶属关系。</w:t>
      </w:r>
    </w:p>
    <w:p w14:paraId="4148B56D">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rPr>
        <w:t>7、我公司没有被各级、各地财政监管部门限制参加政府采购活动，且在限制期内。</w:t>
      </w:r>
    </w:p>
    <w:p w14:paraId="727D1713">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8、愿意向贵方提供任何与该项投标有关的数据、情况和技术资料，完全理解贵方不一定接受最低价的投标或收到的任何投标。</w:t>
      </w:r>
    </w:p>
    <w:p w14:paraId="5ECB7C95">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9、本投标自开标之日起90天内有效。</w:t>
      </w:r>
    </w:p>
    <w:p w14:paraId="29E8C81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10、与本投标有关的一切往来通讯请寄：</w:t>
      </w:r>
    </w:p>
    <w:p w14:paraId="3597345E">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u w:val="single"/>
        </w:rPr>
      </w:pPr>
      <w:r>
        <w:rPr>
          <w:rFonts w:hint="eastAsia" w:ascii="宋体" w:hAnsi="宋体" w:cs="宋体"/>
          <w:color w:val="auto"/>
          <w:sz w:val="22"/>
          <w:highlight w:val="none"/>
          <w:lang w:val="zh-CN"/>
        </w:rPr>
        <w:t>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邮编：</w:t>
      </w:r>
      <w:r>
        <w:rPr>
          <w:rFonts w:hint="eastAsia" w:ascii="宋体" w:hAnsi="宋体" w:cs="宋体"/>
          <w:color w:val="auto"/>
          <w:sz w:val="22"/>
          <w:highlight w:val="none"/>
          <w:u w:val="single"/>
        </w:rPr>
        <w:t xml:space="preserve">                     </w:t>
      </w:r>
    </w:p>
    <w:p w14:paraId="72636B67">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传真：</w:t>
      </w:r>
      <w:r>
        <w:rPr>
          <w:rFonts w:hint="eastAsia" w:ascii="宋体" w:hAnsi="宋体" w:cs="宋体"/>
          <w:color w:val="auto"/>
          <w:sz w:val="22"/>
          <w:highlight w:val="none"/>
          <w:u w:val="single"/>
        </w:rPr>
        <w:t xml:space="preserve">                     </w:t>
      </w:r>
    </w:p>
    <w:p w14:paraId="408CF50A">
      <w:pPr>
        <w:pStyle w:val="12"/>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7DE2C754">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03ABF77">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日期：</w:t>
      </w:r>
    </w:p>
    <w:p w14:paraId="0607EDE3">
      <w:pPr>
        <w:tabs>
          <w:tab w:val="left" w:pos="1069"/>
          <w:tab w:val="left" w:pos="2352"/>
        </w:tabs>
        <w:spacing w:line="360" w:lineRule="exact"/>
        <w:jc w:val="left"/>
        <w:rPr>
          <w:rFonts w:ascii="宋体" w:hAnsi="宋体" w:cs="宋体"/>
          <w:color w:val="auto"/>
          <w:sz w:val="22"/>
          <w:highlight w:val="none"/>
        </w:rPr>
      </w:pPr>
    </w:p>
    <w:p w14:paraId="1FEE12BF">
      <w:pPr>
        <w:tabs>
          <w:tab w:val="left" w:pos="1069"/>
          <w:tab w:val="left" w:pos="2352"/>
        </w:tabs>
        <w:spacing w:line="360" w:lineRule="exact"/>
        <w:jc w:val="left"/>
        <w:rPr>
          <w:rFonts w:ascii="宋体" w:hAnsi="宋体" w:cs="宋体"/>
          <w:color w:val="auto"/>
          <w:sz w:val="22"/>
          <w:highlight w:val="none"/>
        </w:rPr>
      </w:pPr>
    </w:p>
    <w:p w14:paraId="09B0E936">
      <w:pPr>
        <w:tabs>
          <w:tab w:val="left" w:pos="1069"/>
          <w:tab w:val="left" w:pos="2352"/>
        </w:tabs>
        <w:spacing w:line="360" w:lineRule="exact"/>
        <w:jc w:val="left"/>
        <w:rPr>
          <w:rFonts w:ascii="宋体" w:hAnsi="宋体" w:cs="宋体"/>
          <w:b/>
          <w:bCs/>
          <w:color w:val="auto"/>
          <w:sz w:val="30"/>
          <w:highlight w:val="none"/>
        </w:rPr>
      </w:pPr>
    </w:p>
    <w:p w14:paraId="21AF3CD7">
      <w:pPr>
        <w:tabs>
          <w:tab w:val="left" w:pos="1069"/>
          <w:tab w:val="left" w:pos="2352"/>
        </w:tabs>
        <w:spacing w:line="360" w:lineRule="exact"/>
        <w:jc w:val="left"/>
        <w:rPr>
          <w:rFonts w:ascii="宋体" w:hAnsi="宋体" w:cs="宋体"/>
          <w:b/>
          <w:bCs/>
          <w:color w:val="auto"/>
          <w:sz w:val="30"/>
          <w:highlight w:val="none"/>
        </w:rPr>
      </w:pPr>
    </w:p>
    <w:p w14:paraId="2AE349F9">
      <w:pPr>
        <w:pStyle w:val="6"/>
        <w:tabs>
          <w:tab w:val="left" w:pos="1069"/>
          <w:tab w:val="left" w:pos="2352"/>
        </w:tabs>
        <w:rPr>
          <w:color w:val="auto"/>
          <w:highlight w:val="none"/>
        </w:rPr>
      </w:pPr>
    </w:p>
    <w:p w14:paraId="43C1BD91">
      <w:pPr>
        <w:tabs>
          <w:tab w:val="left" w:pos="1069"/>
          <w:tab w:val="left" w:pos="2352"/>
        </w:tabs>
        <w:spacing w:line="360" w:lineRule="exact"/>
        <w:jc w:val="left"/>
        <w:rPr>
          <w:rFonts w:hint="eastAsia" w:ascii="宋体" w:hAnsi="宋体" w:eastAsia="宋体" w:cs="宋体"/>
          <w:color w:val="auto"/>
          <w:sz w:val="22"/>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五</w:t>
      </w:r>
    </w:p>
    <w:p w14:paraId="0620AEF1">
      <w:pPr>
        <w:tabs>
          <w:tab w:val="left" w:pos="1069"/>
          <w:tab w:val="left" w:pos="2352"/>
        </w:tabs>
        <w:spacing w:line="360" w:lineRule="exact"/>
        <w:jc w:val="center"/>
        <w:rPr>
          <w:rFonts w:ascii="宋体" w:hAnsi="宋体" w:cs="宋体"/>
          <w:b/>
          <w:bCs/>
          <w:color w:val="auto"/>
          <w:sz w:val="30"/>
          <w:highlight w:val="none"/>
          <w:lang w:val="zh-CN"/>
        </w:rPr>
      </w:pPr>
      <w:bookmarkStart w:id="258" w:name="_Toc15399_WPSOffice_Level3"/>
      <w:r>
        <w:rPr>
          <w:rFonts w:hint="eastAsia" w:ascii="宋体" w:hAnsi="宋体" w:cs="宋体"/>
          <w:b/>
          <w:bCs/>
          <w:color w:val="auto"/>
          <w:sz w:val="30"/>
          <w:highlight w:val="none"/>
          <w:lang w:val="zh-CN"/>
        </w:rPr>
        <w:t>供应商参与政府采购活动投标资格声明函</w:t>
      </w:r>
      <w:bookmarkEnd w:id="258"/>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1F03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0" w:type="dxa"/>
          </w:tcPr>
          <w:p w14:paraId="4AB01B2B">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项目名称</w:t>
            </w:r>
          </w:p>
        </w:tc>
        <w:tc>
          <w:tcPr>
            <w:tcW w:w="7992" w:type="dxa"/>
          </w:tcPr>
          <w:p w14:paraId="753B63A5">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2024年泰顺县司前畲族镇黄桥村晓燕自然村上燕农田宜机化改造项目</w:t>
            </w:r>
          </w:p>
        </w:tc>
      </w:tr>
      <w:tr w14:paraId="16F1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7044548">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项目采购编号</w:t>
            </w:r>
          </w:p>
        </w:tc>
        <w:tc>
          <w:tcPr>
            <w:tcW w:w="7992" w:type="dxa"/>
          </w:tcPr>
          <w:p w14:paraId="2297F391">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TSCG202501004</w:t>
            </w:r>
          </w:p>
        </w:tc>
      </w:tr>
      <w:tr w14:paraId="70B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D68CEA9">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时间</w:t>
            </w:r>
          </w:p>
        </w:tc>
        <w:tc>
          <w:tcPr>
            <w:tcW w:w="7992" w:type="dxa"/>
          </w:tcPr>
          <w:p w14:paraId="48199890">
            <w:pPr>
              <w:pStyle w:val="12"/>
              <w:tabs>
                <w:tab w:val="left" w:pos="1069"/>
                <w:tab w:val="left" w:pos="2352"/>
              </w:tabs>
              <w:adjustRightInd w:val="0"/>
              <w:snapToGrid w:val="0"/>
              <w:spacing w:line="400" w:lineRule="exact"/>
              <w:jc w:val="center"/>
              <w:rPr>
                <w:rFonts w:hAnsi="宋体" w:cs="宋体"/>
                <w:color w:val="auto"/>
                <w:kern w:val="2"/>
                <w:sz w:val="22"/>
                <w:szCs w:val="22"/>
                <w:highlight w:val="none"/>
              </w:rPr>
            </w:pPr>
            <w:r>
              <w:rPr>
                <w:rFonts w:hint="eastAsia" w:hAnsi="宋体" w:cs="宋体"/>
                <w:color w:val="auto"/>
                <w:kern w:val="2"/>
                <w:sz w:val="22"/>
                <w:szCs w:val="22"/>
                <w:highlight w:val="none"/>
              </w:rPr>
              <w:t>本项目投标截止时间</w:t>
            </w:r>
          </w:p>
        </w:tc>
      </w:tr>
      <w:tr w14:paraId="7F8A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tcPr>
          <w:p w14:paraId="75783754">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1、根据政府采购法第二十二条规定，我单位满足以下条件，并已经在《资格文件》中提供了相应的证明材料：</w:t>
            </w:r>
          </w:p>
          <w:p w14:paraId="1B4EA715">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4E1F4727">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27F84569">
            <w:pPr>
              <w:pStyle w:val="12"/>
              <w:tabs>
                <w:tab w:val="left" w:pos="1069"/>
                <w:tab w:val="left" w:pos="2352"/>
              </w:tabs>
              <w:adjustRightInd w:val="0"/>
              <w:snapToGrid w:val="0"/>
              <w:spacing w:line="400" w:lineRule="exact"/>
              <w:ind w:firstLine="450"/>
              <w:rPr>
                <w:rFonts w:hint="eastAsia" w:hAnsi="宋体" w:eastAsia="宋体" w:cs="宋体"/>
                <w:color w:val="auto"/>
                <w:kern w:val="2"/>
                <w:highlight w:val="none"/>
                <w:lang w:eastAsia="zh-CN"/>
              </w:rPr>
            </w:pPr>
            <w:r>
              <w:rPr>
                <w:rFonts w:hint="eastAsia" w:hAnsi="宋体" w:cs="宋体"/>
                <w:color w:val="auto"/>
                <w:kern w:val="2"/>
                <w:highlight w:val="none"/>
              </w:rPr>
              <w:t>3、我单位没有被各地、各级财政部门限制参加政府采购活动，且在限制期内</w:t>
            </w:r>
            <w:r>
              <w:rPr>
                <w:rFonts w:hint="eastAsia" w:hAnsi="宋体" w:cs="宋体"/>
                <w:color w:val="auto"/>
                <w:kern w:val="2"/>
                <w:highlight w:val="none"/>
                <w:lang w:eastAsia="zh-CN"/>
              </w:rPr>
              <w:t>。</w:t>
            </w:r>
          </w:p>
          <w:p w14:paraId="778B9F85">
            <w:pPr>
              <w:tabs>
                <w:tab w:val="left" w:pos="1069"/>
                <w:tab w:val="left" w:pos="2352"/>
                <w:tab w:val="center" w:pos="4483"/>
              </w:tabs>
              <w:adjustRightInd w:val="0"/>
              <w:spacing w:line="360" w:lineRule="auto"/>
              <w:ind w:firstLine="400"/>
              <w:rPr>
                <w:rFonts w:ascii="宋体" w:hAnsi="宋体" w:cs="宋体"/>
                <w:b/>
                <w:bCs/>
                <w:color w:val="auto"/>
                <w:szCs w:val="21"/>
                <w:highlight w:val="none"/>
                <w:u w:val="single"/>
              </w:rPr>
            </w:pPr>
            <w:r>
              <w:rPr>
                <w:rFonts w:hint="eastAsia" w:ascii="宋体" w:hAnsi="宋体" w:cs="宋体"/>
                <w:color w:val="auto"/>
                <w:szCs w:val="21"/>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hAnsi="宋体" w:cs="宋体"/>
                <w:b/>
                <w:bCs/>
                <w:color w:val="auto"/>
                <w:szCs w:val="21"/>
                <w:highlight w:val="none"/>
                <w:u w:val="single"/>
              </w:rPr>
              <w:t>（若无则说明无）。</w:t>
            </w:r>
          </w:p>
          <w:p w14:paraId="5BC6655B">
            <w:pPr>
              <w:tabs>
                <w:tab w:val="left" w:pos="1069"/>
                <w:tab w:val="left" w:pos="2352"/>
                <w:tab w:val="center" w:pos="4483"/>
              </w:tabs>
              <w:adjustRightInd w:val="0"/>
              <w:spacing w:line="360" w:lineRule="auto"/>
              <w:ind w:firstLine="400"/>
              <w:rPr>
                <w:rFonts w:ascii="宋体" w:hAnsi="宋体" w:cs="宋体"/>
                <w:color w:val="auto"/>
                <w:szCs w:val="21"/>
                <w:highlight w:val="none"/>
              </w:rPr>
            </w:pPr>
            <w:r>
              <w:rPr>
                <w:rFonts w:hint="eastAsia" w:ascii="宋体" w:hAnsi="宋体" w:cs="宋体"/>
                <w:color w:val="auto"/>
                <w:szCs w:val="21"/>
                <w:highlight w:val="none"/>
              </w:rPr>
              <w:t>5、我单位符合本项目特定资格条件：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要求，并在《资格文件》中提供了相应的证明材料</w:t>
            </w:r>
            <w:r>
              <w:rPr>
                <w:rFonts w:hint="eastAsia" w:ascii="宋体" w:hAnsi="宋体" w:cs="宋体"/>
                <w:color w:val="auto"/>
                <w:szCs w:val="21"/>
                <w:highlight w:val="none"/>
                <w:u w:val="single"/>
              </w:rPr>
              <w:t>（竞争性磋商文件没有要求特定资格条件的，本条款空格处可以空白）。</w:t>
            </w:r>
          </w:p>
          <w:p w14:paraId="1094A5A7">
            <w:pPr>
              <w:tabs>
                <w:tab w:val="left" w:pos="1069"/>
                <w:tab w:val="left" w:pos="2352"/>
                <w:tab w:val="center" w:pos="4483"/>
              </w:tabs>
              <w:adjustRightInd w:val="0"/>
              <w:spacing w:line="360" w:lineRule="auto"/>
              <w:ind w:firstLine="426" w:firstLineChars="200"/>
              <w:rPr>
                <w:rFonts w:ascii="宋体" w:hAnsi="宋体" w:cs="宋体"/>
                <w:color w:val="auto"/>
                <w:sz w:val="20"/>
                <w:highlight w:val="none"/>
              </w:rPr>
            </w:pPr>
            <w:r>
              <w:rPr>
                <w:rFonts w:hint="eastAsia" w:ascii="宋体" w:hAnsi="宋体" w:cs="宋体"/>
                <w:color w:val="auto"/>
                <w:szCs w:val="21"/>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451B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vAlign w:val="center"/>
          </w:tcPr>
          <w:p w14:paraId="269E8C09">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供应商名称（加盖盖章）：</w:t>
            </w:r>
          </w:p>
        </w:tc>
      </w:tr>
      <w:tr w14:paraId="68DF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vAlign w:val="center"/>
          </w:tcPr>
          <w:p w14:paraId="036233D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法定代表人（签字或盖章）或授权代表（签字）：</w:t>
            </w:r>
          </w:p>
        </w:tc>
      </w:tr>
      <w:tr w14:paraId="460C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vAlign w:val="center"/>
          </w:tcPr>
          <w:p w14:paraId="032D5E3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签署日期：</w:t>
            </w:r>
          </w:p>
        </w:tc>
      </w:tr>
    </w:tbl>
    <w:p w14:paraId="1D652D17">
      <w:pPr>
        <w:tabs>
          <w:tab w:val="left" w:pos="1069"/>
          <w:tab w:val="left" w:pos="2352"/>
        </w:tabs>
        <w:spacing w:line="360" w:lineRule="exact"/>
        <w:jc w:val="left"/>
        <w:rPr>
          <w:rFonts w:ascii="宋体" w:hAnsi="宋体" w:cs="宋体"/>
          <w:bCs/>
          <w:color w:val="auto"/>
          <w:sz w:val="22"/>
          <w:highlight w:val="none"/>
          <w:u w:val="single"/>
        </w:rPr>
      </w:pPr>
    </w:p>
    <w:p w14:paraId="330ECB37">
      <w:pPr>
        <w:tabs>
          <w:tab w:val="left" w:pos="1069"/>
          <w:tab w:val="left" w:pos="2352"/>
        </w:tabs>
        <w:spacing w:line="360" w:lineRule="exact"/>
        <w:jc w:val="left"/>
        <w:rPr>
          <w:rFonts w:ascii="宋体" w:hAnsi="宋体" w:cs="宋体"/>
          <w:bCs/>
          <w:color w:val="auto"/>
          <w:sz w:val="22"/>
          <w:highlight w:val="none"/>
          <w:u w:val="single"/>
        </w:rPr>
      </w:pPr>
      <w:r>
        <w:rPr>
          <w:rFonts w:hint="eastAsia" w:ascii="宋体" w:hAnsi="宋体" w:cs="宋体"/>
          <w:bCs/>
          <w:color w:val="auto"/>
          <w:sz w:val="22"/>
          <w:highlight w:val="none"/>
          <w:u w:val="single"/>
        </w:rPr>
        <w:t>备注：▲投标供应商必须按要求提供本声明，不提供按无效投标处理。</w:t>
      </w:r>
    </w:p>
    <w:p w14:paraId="78E566F6">
      <w:pPr>
        <w:tabs>
          <w:tab w:val="left" w:pos="1069"/>
          <w:tab w:val="left" w:pos="2352"/>
        </w:tabs>
        <w:spacing w:line="360" w:lineRule="exact"/>
        <w:jc w:val="left"/>
        <w:rPr>
          <w:rFonts w:ascii="宋体" w:hAnsi="宋体" w:cs="宋体"/>
          <w:b/>
          <w:bCs/>
          <w:color w:val="auto"/>
          <w:sz w:val="32"/>
          <w:szCs w:val="32"/>
          <w:highlight w:val="none"/>
        </w:rPr>
      </w:pPr>
    </w:p>
    <w:p w14:paraId="132A64AB">
      <w:pPr>
        <w:tabs>
          <w:tab w:val="left" w:pos="1069"/>
          <w:tab w:val="left" w:pos="2352"/>
        </w:tabs>
        <w:spacing w:line="360" w:lineRule="exact"/>
        <w:jc w:val="left"/>
        <w:rPr>
          <w:rFonts w:ascii="宋体" w:hAnsi="宋体" w:cs="宋体"/>
          <w:b/>
          <w:bCs/>
          <w:color w:val="auto"/>
          <w:sz w:val="32"/>
          <w:szCs w:val="32"/>
          <w:highlight w:val="none"/>
        </w:rPr>
      </w:pPr>
    </w:p>
    <w:p w14:paraId="5C844B3C">
      <w:pPr>
        <w:tabs>
          <w:tab w:val="left" w:pos="1069"/>
          <w:tab w:val="left" w:pos="2352"/>
        </w:tabs>
        <w:spacing w:line="360" w:lineRule="exact"/>
        <w:jc w:val="left"/>
        <w:rPr>
          <w:rFonts w:ascii="宋体" w:hAnsi="宋体" w:cs="宋体"/>
          <w:b/>
          <w:bCs/>
          <w:color w:val="auto"/>
          <w:sz w:val="32"/>
          <w:szCs w:val="32"/>
          <w:highlight w:val="none"/>
        </w:rPr>
      </w:pPr>
    </w:p>
    <w:p w14:paraId="65DB4FB9">
      <w:pPr>
        <w:tabs>
          <w:tab w:val="left" w:pos="1069"/>
          <w:tab w:val="left" w:pos="2352"/>
        </w:tabs>
        <w:spacing w:line="360" w:lineRule="exact"/>
        <w:jc w:val="left"/>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六</w:t>
      </w:r>
    </w:p>
    <w:p w14:paraId="499060F8">
      <w:pPr>
        <w:tabs>
          <w:tab w:val="left" w:pos="1069"/>
          <w:tab w:val="left" w:pos="2352"/>
        </w:tabs>
        <w:jc w:val="center"/>
        <w:rPr>
          <w:rFonts w:ascii="宋体" w:hAnsi="宋体" w:cs="宋体"/>
          <w:color w:val="auto"/>
          <w:sz w:val="24"/>
          <w:highlight w:val="none"/>
        </w:rPr>
      </w:pPr>
      <w:bookmarkStart w:id="259" w:name="_Toc7010_WPSOffice_Level3"/>
      <w:r>
        <w:rPr>
          <w:rFonts w:hint="eastAsia" w:ascii="宋体" w:hAnsi="宋体" w:cs="宋体"/>
          <w:b/>
          <w:bCs/>
          <w:color w:val="auto"/>
          <w:sz w:val="32"/>
          <w:szCs w:val="32"/>
          <w:highlight w:val="none"/>
        </w:rPr>
        <w:t>法定代表人诚信投标承诺书</w:t>
      </w:r>
      <w:bookmarkEnd w:id="259"/>
    </w:p>
    <w:p w14:paraId="4B4E4A7A">
      <w:pPr>
        <w:tabs>
          <w:tab w:val="left" w:pos="1069"/>
          <w:tab w:val="left" w:pos="2352"/>
        </w:tabs>
        <w:spacing w:line="460" w:lineRule="atLeast"/>
        <w:jc w:val="left"/>
        <w:rPr>
          <w:rFonts w:ascii="宋体" w:hAnsi="宋体" w:cs="宋体"/>
          <w:color w:val="auto"/>
          <w:sz w:val="22"/>
          <w:highlight w:val="none"/>
        </w:rPr>
      </w:pPr>
      <w:r>
        <w:rPr>
          <w:rFonts w:hint="eastAsia" w:ascii="宋体" w:hAnsi="宋体" w:cs="宋体"/>
          <w:color w:val="auto"/>
          <w:sz w:val="22"/>
          <w:highlight w:val="none"/>
        </w:rPr>
        <w:t>本人以企业法定代表人的身份郑重承诺：</w:t>
      </w:r>
    </w:p>
    <w:p w14:paraId="18363839">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将遵循公开、公平、公正和诚信信用的原则参加</w:t>
      </w:r>
      <w:r>
        <w:rPr>
          <w:rFonts w:hint="eastAsia" w:ascii="宋体" w:hAnsi="宋体" w:cs="宋体"/>
          <w:color w:val="auto"/>
          <w:sz w:val="22"/>
          <w:highlight w:val="none"/>
          <w:u w:val="single"/>
          <w:lang w:eastAsia="zh-CN"/>
        </w:rPr>
        <w:t>2024年泰顺县司前畲族镇黄桥村晓燕自然村上燕农田宜机化改造项目</w:t>
      </w:r>
      <w:r>
        <w:rPr>
          <w:rFonts w:hint="eastAsia" w:ascii="宋体" w:hAnsi="宋体" w:cs="宋体"/>
          <w:color w:val="auto"/>
          <w:sz w:val="22"/>
          <w:highlight w:val="none"/>
          <w:u w:val="single"/>
        </w:rPr>
        <w:t>（采购编号：</w:t>
      </w:r>
      <w:r>
        <w:rPr>
          <w:rFonts w:hint="eastAsia" w:ascii="宋体" w:hAnsi="宋体" w:cs="宋体"/>
          <w:color w:val="auto"/>
          <w:sz w:val="22"/>
          <w:highlight w:val="none"/>
          <w:u w:val="single"/>
          <w:lang w:eastAsia="zh-CN"/>
        </w:rPr>
        <w:t>TSCG202501004</w:t>
      </w:r>
      <w:r>
        <w:rPr>
          <w:rFonts w:hint="eastAsia" w:ascii="宋体" w:hAnsi="宋体" w:cs="宋体"/>
          <w:color w:val="auto"/>
          <w:sz w:val="22"/>
          <w:highlight w:val="none"/>
          <w:u w:val="single"/>
        </w:rPr>
        <w:t>）</w:t>
      </w:r>
      <w:r>
        <w:rPr>
          <w:rFonts w:hint="eastAsia" w:ascii="宋体" w:hAnsi="宋体" w:cs="宋体"/>
          <w:color w:val="auto"/>
          <w:sz w:val="22"/>
          <w:highlight w:val="none"/>
        </w:rPr>
        <w:t>的投标；</w:t>
      </w:r>
    </w:p>
    <w:p w14:paraId="20C0F25D">
      <w:pPr>
        <w:tabs>
          <w:tab w:val="left" w:pos="1069"/>
          <w:tab w:val="left" w:pos="2352"/>
        </w:tabs>
        <w:spacing w:line="460" w:lineRule="atLeast"/>
        <w:ind w:firstLine="446" w:firstLineChars="200"/>
        <w:jc w:val="left"/>
        <w:rPr>
          <w:rFonts w:ascii="宋体" w:hAnsi="宋体" w:cs="宋体"/>
          <w:color w:val="auto"/>
          <w:sz w:val="22"/>
          <w:highlight w:val="none"/>
          <w:u w:val="single"/>
        </w:rPr>
      </w:pPr>
      <w:r>
        <w:rPr>
          <w:rFonts w:hint="eastAsia" w:ascii="宋体" w:hAnsi="宋体" w:cs="宋体"/>
          <w:color w:val="auto"/>
          <w:sz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7C13F627">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二、投标（响应）文件所提供的一切材料都是真实、有效、合法的。</w:t>
      </w:r>
    </w:p>
    <w:p w14:paraId="3B847A36">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三、不与其他投标人相互串通投标报价，不排挤其他投标人的公平竞争，不损害招标人或其他投标人的合法权益。</w:t>
      </w:r>
    </w:p>
    <w:p w14:paraId="500B74B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四、不与采购人或招标代理机构串通投标，不损害国家利益，社会公共利益或其他人的合法权益。</w:t>
      </w:r>
    </w:p>
    <w:p w14:paraId="633DF48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五、不向采购人或者评审小组成员行贿以牟取中标(成交)。</w:t>
      </w:r>
    </w:p>
    <w:p w14:paraId="7E1B517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六、不以其他人名义投标或者以其他方式弄虚作假，骗取中标(成交)。</w:t>
      </w:r>
    </w:p>
    <w:p w14:paraId="240E6F7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七、不在开标后进行虚假恶意投诉。</w:t>
      </w:r>
    </w:p>
    <w:p w14:paraId="20029C2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361733E8">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九、没有被各地、各级财政部门禁止参加政府采购活动，且在限制期限内：</w:t>
      </w:r>
    </w:p>
    <w:p w14:paraId="0104180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十、参与本项目政府采购活动3年内没有重大违法记录情况。</w:t>
      </w:r>
    </w:p>
    <w:p w14:paraId="3859CDA8">
      <w:pPr>
        <w:tabs>
          <w:tab w:val="left" w:pos="1069"/>
          <w:tab w:val="left" w:pos="2352"/>
        </w:tabs>
        <w:spacing w:line="46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本公司若有违反本承诺内容的行为，愿意承担法律责任，包括不限于：愿意接受相关行政主管部门作出的处罚；给采购人造成损失的，依法承担相应的赔偿责任。</w:t>
      </w:r>
    </w:p>
    <w:p w14:paraId="7F9E7264">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b/>
          <w:bCs/>
          <w:color w:val="auto"/>
          <w:sz w:val="22"/>
          <w:highlight w:val="none"/>
        </w:rPr>
        <w:t>法定代表人（签字或签章）</w:t>
      </w:r>
      <w:r>
        <w:rPr>
          <w:rFonts w:hint="eastAsia" w:ascii="宋体" w:hAnsi="宋体" w:cs="宋体"/>
          <w:color w:val="auto"/>
          <w:sz w:val="22"/>
          <w:highlight w:val="none"/>
        </w:rPr>
        <w:t>：</w:t>
      </w:r>
    </w:p>
    <w:p w14:paraId="0D46A813">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color w:val="auto"/>
          <w:sz w:val="22"/>
          <w:highlight w:val="none"/>
        </w:rPr>
        <w:t>投标供应商（盖章）</w:t>
      </w:r>
    </w:p>
    <w:p w14:paraId="1DA9B3E7">
      <w:pPr>
        <w:tabs>
          <w:tab w:val="left" w:pos="1069"/>
          <w:tab w:val="left" w:pos="2352"/>
        </w:tabs>
        <w:spacing w:line="460" w:lineRule="atLeast"/>
        <w:ind w:right="1120" w:firstLine="3010" w:firstLineChars="1350"/>
        <w:rPr>
          <w:rFonts w:ascii="宋体" w:hAnsi="宋体" w:cs="宋体"/>
          <w:color w:val="auto"/>
          <w:szCs w:val="21"/>
          <w:highlight w:val="none"/>
        </w:rPr>
      </w:pPr>
      <w:r>
        <w:rPr>
          <w:rFonts w:hint="eastAsia" w:ascii="宋体" w:hAnsi="宋体" w:cs="宋体"/>
          <w:color w:val="auto"/>
          <w:sz w:val="22"/>
          <w:highlight w:val="none"/>
        </w:rPr>
        <w:t>承诺书签署日期：年月日</w:t>
      </w:r>
    </w:p>
    <w:p w14:paraId="54E99A8B">
      <w:pPr>
        <w:tabs>
          <w:tab w:val="left" w:pos="1069"/>
          <w:tab w:val="left" w:pos="2352"/>
        </w:tabs>
        <w:spacing w:line="360" w:lineRule="exact"/>
        <w:jc w:val="left"/>
        <w:rPr>
          <w:rFonts w:ascii="宋体" w:hAnsi="宋体" w:cs="宋体"/>
          <w:bCs/>
          <w:color w:val="auto"/>
          <w:sz w:val="22"/>
          <w:highlight w:val="none"/>
          <w:u w:val="single"/>
        </w:rPr>
      </w:pPr>
    </w:p>
    <w:p w14:paraId="193631F8">
      <w:pPr>
        <w:tabs>
          <w:tab w:val="left" w:pos="1069"/>
          <w:tab w:val="left" w:pos="2352"/>
        </w:tabs>
        <w:spacing w:line="360" w:lineRule="exact"/>
        <w:jc w:val="left"/>
        <w:rPr>
          <w:rFonts w:ascii="宋体" w:hAnsi="宋体" w:cs="宋体"/>
          <w:color w:val="auto"/>
          <w:sz w:val="30"/>
          <w:highlight w:val="none"/>
        </w:rPr>
      </w:pPr>
      <w:r>
        <w:rPr>
          <w:rFonts w:hint="eastAsia" w:ascii="宋体" w:hAnsi="宋体" w:cs="宋体"/>
          <w:bCs/>
          <w:color w:val="auto"/>
          <w:sz w:val="22"/>
          <w:highlight w:val="none"/>
          <w:u w:val="single"/>
        </w:rPr>
        <w:t>备注：▲投标供应商必须提供本承诺书，不提供按无效投标处理。</w:t>
      </w:r>
    </w:p>
    <w:p w14:paraId="27D4D4C9">
      <w:pPr>
        <w:pStyle w:val="12"/>
        <w:tabs>
          <w:tab w:val="left" w:pos="1069"/>
          <w:tab w:val="left" w:pos="2352"/>
        </w:tabs>
        <w:spacing w:line="360" w:lineRule="exact"/>
        <w:jc w:val="center"/>
        <w:rPr>
          <w:rFonts w:hAnsi="宋体" w:cs="宋体"/>
          <w:color w:val="auto"/>
          <w:sz w:val="32"/>
          <w:highlight w:val="none"/>
        </w:rPr>
      </w:pPr>
    </w:p>
    <w:p w14:paraId="3EDA1DEE">
      <w:pPr>
        <w:tabs>
          <w:tab w:val="left" w:pos="1069"/>
          <w:tab w:val="left" w:pos="2352"/>
        </w:tabs>
        <w:spacing w:line="360" w:lineRule="exact"/>
        <w:jc w:val="left"/>
        <w:rPr>
          <w:rFonts w:ascii="宋体" w:hAnsi="宋体" w:cs="宋体"/>
          <w:color w:val="auto"/>
          <w:sz w:val="30"/>
          <w:highlight w:val="none"/>
        </w:rPr>
      </w:pPr>
    </w:p>
    <w:p w14:paraId="17F58820">
      <w:pPr>
        <w:tabs>
          <w:tab w:val="left" w:pos="2352"/>
        </w:tabs>
        <w:rPr>
          <w:color w:val="auto"/>
          <w:highlight w:val="none"/>
          <w:lang w:val="zh-CN"/>
        </w:rPr>
      </w:pPr>
    </w:p>
    <w:p w14:paraId="7C525180">
      <w:pPr>
        <w:pStyle w:val="12"/>
        <w:tabs>
          <w:tab w:val="left" w:pos="1069"/>
          <w:tab w:val="left" w:pos="2352"/>
        </w:tabs>
        <w:spacing w:line="360" w:lineRule="exact"/>
        <w:jc w:val="left"/>
        <w:rPr>
          <w:rFonts w:hint="eastAsia" w:hAnsi="宋体" w:eastAsia="宋体" w:cs="宋体"/>
          <w:b/>
          <w:bCs/>
          <w:color w:val="auto"/>
          <w:sz w:val="32"/>
          <w:highlight w:val="none"/>
          <w:lang w:eastAsia="zh-CN"/>
        </w:rPr>
      </w:pPr>
      <w:r>
        <w:rPr>
          <w:rFonts w:hint="eastAsia" w:hAnsi="宋体" w:cs="宋体"/>
          <w:b/>
          <w:bCs/>
          <w:color w:val="auto"/>
          <w:sz w:val="32"/>
          <w:highlight w:val="none"/>
          <w:lang w:val="zh-CN"/>
        </w:rPr>
        <w:t>附件</w:t>
      </w:r>
      <w:r>
        <w:rPr>
          <w:rFonts w:hint="eastAsia" w:hAnsi="宋体" w:cs="宋体"/>
          <w:b/>
          <w:bCs/>
          <w:color w:val="auto"/>
          <w:sz w:val="32"/>
          <w:highlight w:val="none"/>
          <w:lang w:val="en-US" w:eastAsia="zh-CN"/>
        </w:rPr>
        <w:t>七</w:t>
      </w:r>
    </w:p>
    <w:p w14:paraId="2E703B76">
      <w:pPr>
        <w:pStyle w:val="12"/>
        <w:tabs>
          <w:tab w:val="left" w:pos="1069"/>
          <w:tab w:val="left" w:pos="2352"/>
        </w:tabs>
        <w:spacing w:line="360" w:lineRule="exact"/>
        <w:jc w:val="center"/>
        <w:rPr>
          <w:rFonts w:hAnsi="宋体" w:cs="宋体"/>
          <w:b/>
          <w:bCs/>
          <w:color w:val="auto"/>
          <w:sz w:val="32"/>
          <w:highlight w:val="none"/>
          <w:lang w:val="zh-CN"/>
        </w:rPr>
      </w:pPr>
      <w:bookmarkStart w:id="260" w:name="_Toc18541_WPSOffice_Level3"/>
      <w:r>
        <w:rPr>
          <w:rFonts w:hint="eastAsia" w:hAnsi="宋体" w:cs="宋体"/>
          <w:b/>
          <w:bCs/>
          <w:color w:val="auto"/>
          <w:sz w:val="32"/>
          <w:highlight w:val="none"/>
          <w:lang w:val="zh-CN"/>
        </w:rPr>
        <w:t>（一）商务偏离表</w:t>
      </w:r>
      <w:bookmarkEnd w:id="260"/>
    </w:p>
    <w:p w14:paraId="19C72FB1">
      <w:pPr>
        <w:tabs>
          <w:tab w:val="left" w:pos="1069"/>
          <w:tab w:val="left" w:pos="2352"/>
        </w:tabs>
        <w:autoSpaceDE w:val="0"/>
        <w:autoSpaceDN w:val="0"/>
        <w:adjustRightInd w:val="0"/>
        <w:spacing w:line="360" w:lineRule="exact"/>
        <w:jc w:val="center"/>
        <w:rPr>
          <w:rFonts w:ascii="宋体" w:hAnsi="宋体" w:cs="宋体"/>
          <w:color w:val="auto"/>
          <w:sz w:val="32"/>
          <w:highlight w:val="none"/>
          <w:lang w:val="zh-CN"/>
        </w:rPr>
      </w:pPr>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48A27940">
        <w:tblPrEx>
          <w:tblCellMar>
            <w:top w:w="0" w:type="dxa"/>
            <w:left w:w="108" w:type="dxa"/>
            <w:bottom w:w="0" w:type="dxa"/>
            <w:right w:w="108" w:type="dxa"/>
          </w:tblCellMar>
        </w:tblPrEx>
        <w:trPr>
          <w:trHeight w:val="936" w:hRule="atLeast"/>
        </w:trPr>
        <w:tc>
          <w:tcPr>
            <w:tcW w:w="1080" w:type="dxa"/>
            <w:tcBorders>
              <w:top w:val="single" w:color="auto" w:sz="6" w:space="0"/>
              <w:left w:val="single" w:color="auto" w:sz="6" w:space="0"/>
              <w:bottom w:val="single" w:color="auto" w:sz="6" w:space="0"/>
              <w:right w:val="single" w:color="auto" w:sz="6" w:space="0"/>
            </w:tcBorders>
            <w:vAlign w:val="center"/>
          </w:tcPr>
          <w:p w14:paraId="082AC287">
            <w:pPr>
              <w:tabs>
                <w:tab w:val="left" w:pos="1069"/>
                <w:tab w:val="left" w:pos="2352"/>
              </w:tabs>
              <w:autoSpaceDE w:val="0"/>
              <w:autoSpaceDN w:val="0"/>
              <w:adjustRightInd w:val="0"/>
              <w:spacing w:line="360" w:lineRule="exact"/>
              <w:rPr>
                <w:rFonts w:ascii="宋体" w:hAnsi="宋体" w:cs="宋体"/>
                <w:color w:val="auto"/>
                <w:sz w:val="24"/>
                <w:highlight w:val="none"/>
              </w:rPr>
            </w:pPr>
            <w:r>
              <w:rPr>
                <w:rFonts w:hint="eastAsia" w:ascii="宋体" w:hAnsi="宋体" w:cs="宋体"/>
                <w:color w:val="auto"/>
                <w:sz w:val="24"/>
                <w:highlight w:val="none"/>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3CA1646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318E84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542141B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投标（响应）文件</w:t>
            </w:r>
          </w:p>
          <w:p w14:paraId="0B92BBD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660C0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备注</w:t>
            </w:r>
          </w:p>
        </w:tc>
      </w:tr>
      <w:tr w14:paraId="76A96ED8">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1E887A1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38D5D8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2DDBF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35C36E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15465C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010383D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D039F4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4DB9F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976A1C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DBF832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6CD47F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4491EAF">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743262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8D2278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A67E4D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AEEEB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E3312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1DC7F16">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7C3B74B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31214E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F4FEE6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3ADFA1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B4507A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C3AFAA2">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9809B2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C0C458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362CD6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685F5A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C89F903">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F0AB4A9">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B6FE63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5306BE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C0249C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8C33A4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E61C8D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61D41B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60843B8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21127A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CBCE20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CD64F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785336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0B3149B">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69C0EA2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0BBF9C1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56D312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96DC00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292F4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34500DD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0FAEC8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2BA2C5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CB428E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9F031D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4ECCB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bl>
    <w:p w14:paraId="4DA8ADF3">
      <w:pPr>
        <w:tabs>
          <w:tab w:val="left" w:pos="1069"/>
          <w:tab w:val="left" w:pos="2352"/>
        </w:tabs>
        <w:autoSpaceDE w:val="0"/>
        <w:autoSpaceDN w:val="0"/>
        <w:adjustRightInd w:val="0"/>
        <w:spacing w:line="36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供应商盖章：</w:t>
      </w:r>
    </w:p>
    <w:p w14:paraId="2CE6CB42">
      <w:pPr>
        <w:tabs>
          <w:tab w:val="left" w:pos="1069"/>
          <w:tab w:val="left" w:pos="2352"/>
        </w:tabs>
        <w:autoSpaceDE w:val="0"/>
        <w:autoSpaceDN w:val="0"/>
        <w:adjustRightInd w:val="0"/>
        <w:spacing w:line="360" w:lineRule="exact"/>
        <w:rPr>
          <w:rFonts w:ascii="宋体" w:hAnsi="宋体" w:cs="宋体"/>
          <w:color w:val="auto"/>
          <w:sz w:val="32"/>
          <w:highlight w:val="none"/>
          <w:lang w:val="zh-CN"/>
        </w:rPr>
      </w:pPr>
    </w:p>
    <w:p w14:paraId="0DADBCB0">
      <w:pPr>
        <w:pStyle w:val="12"/>
        <w:tabs>
          <w:tab w:val="left" w:pos="1069"/>
          <w:tab w:val="left" w:pos="2352"/>
        </w:tabs>
        <w:spacing w:line="360" w:lineRule="exact"/>
        <w:jc w:val="center"/>
        <w:rPr>
          <w:rFonts w:hAnsi="宋体" w:cs="宋体"/>
          <w:b/>
          <w:bCs/>
          <w:color w:val="auto"/>
          <w:sz w:val="32"/>
          <w:highlight w:val="none"/>
          <w:lang w:val="zh-CN"/>
        </w:rPr>
      </w:pPr>
      <w:bookmarkStart w:id="261" w:name="_Toc4031_WPSOffice_Level3"/>
      <w:r>
        <w:rPr>
          <w:rFonts w:hint="eastAsia" w:hAnsi="宋体" w:cs="宋体"/>
          <w:b/>
          <w:bCs/>
          <w:color w:val="auto"/>
          <w:sz w:val="32"/>
          <w:highlight w:val="none"/>
          <w:lang w:val="zh-CN"/>
        </w:rPr>
        <w:t>（二）技术偏离表</w:t>
      </w:r>
      <w:bookmarkEnd w:id="261"/>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36BE375E">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vAlign w:val="center"/>
          </w:tcPr>
          <w:p w14:paraId="1A20AF7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2C358C0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0A6E4B2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67843A7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投标（响应）文件</w:t>
            </w:r>
          </w:p>
          <w:p w14:paraId="0A42ED1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F37AD5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备注</w:t>
            </w:r>
          </w:p>
        </w:tc>
      </w:tr>
      <w:tr w14:paraId="2118361F">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5C86CC4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29FECE3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F9F68E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D77ADB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8C4660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56C0AAEB">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1FB51B9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D61170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1ECA23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A83646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8B89F00">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066AB8C4">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9D1269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83F3AA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D168F2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00EFED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5274B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9BCD85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4363CD4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256598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2F8F3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01385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22FB957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90FF34D">
        <w:tc>
          <w:tcPr>
            <w:tcW w:w="1080" w:type="dxa"/>
            <w:tcBorders>
              <w:top w:val="single" w:color="auto" w:sz="6" w:space="0"/>
              <w:left w:val="single" w:color="auto" w:sz="6" w:space="0"/>
              <w:bottom w:val="single" w:color="auto" w:sz="6" w:space="0"/>
              <w:right w:val="single" w:color="auto" w:sz="6" w:space="0"/>
            </w:tcBorders>
          </w:tcPr>
          <w:p w14:paraId="3F040D7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A8A9F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510B2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6F994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465FC0A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B389B6E">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0227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71629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10E9E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4E10F1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C1E80C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C0F4F8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719A65E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55A14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4F16C6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3CFC2D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80824E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736BD148">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2D1AA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575C97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4E377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8B5670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500F24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3136C15A">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53DEF7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AE9352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B3AEC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698E70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AA7E4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bl>
    <w:p w14:paraId="0345630D">
      <w:pPr>
        <w:tabs>
          <w:tab w:val="left" w:pos="1069"/>
          <w:tab w:val="left" w:pos="2352"/>
        </w:tabs>
        <w:spacing w:line="360" w:lineRule="exact"/>
        <w:rPr>
          <w:rFonts w:ascii="宋体" w:hAnsi="宋体" w:cs="宋体"/>
          <w:color w:val="auto"/>
          <w:spacing w:val="20"/>
          <w:sz w:val="22"/>
          <w:highlight w:val="none"/>
        </w:rPr>
      </w:pPr>
      <w:r>
        <w:rPr>
          <w:rFonts w:hint="eastAsia" w:ascii="宋体" w:hAnsi="宋体" w:cs="宋体"/>
          <w:color w:val="auto"/>
          <w:sz w:val="22"/>
          <w:highlight w:val="none"/>
          <w:lang w:val="zh-CN"/>
        </w:rPr>
        <w:t>供应商盖章：</w:t>
      </w:r>
    </w:p>
    <w:p w14:paraId="0890703B">
      <w:pPr>
        <w:tabs>
          <w:tab w:val="left" w:pos="1069"/>
          <w:tab w:val="left" w:pos="2352"/>
        </w:tabs>
        <w:rPr>
          <w:rFonts w:ascii="宋体" w:hAnsi="宋体" w:cs="宋体"/>
          <w:color w:val="auto"/>
          <w:highlight w:val="none"/>
        </w:rPr>
      </w:pPr>
      <w:bookmarkStart w:id="262" w:name="_Toc30988_WPSOffice_Level2"/>
    </w:p>
    <w:p w14:paraId="1709A83F">
      <w:pPr>
        <w:tabs>
          <w:tab w:val="left" w:pos="1069"/>
          <w:tab w:val="left" w:pos="2352"/>
        </w:tabs>
        <w:rPr>
          <w:rFonts w:ascii="宋体" w:hAnsi="宋体" w:cs="宋体"/>
          <w:color w:val="auto"/>
          <w:highlight w:val="none"/>
        </w:rPr>
      </w:pPr>
    </w:p>
    <w:p w14:paraId="0ABCC7C9">
      <w:pPr>
        <w:tabs>
          <w:tab w:val="left" w:pos="1069"/>
          <w:tab w:val="left" w:pos="2352"/>
        </w:tabs>
        <w:rPr>
          <w:rFonts w:ascii="宋体" w:hAnsi="宋体" w:cs="宋体"/>
          <w:color w:val="auto"/>
          <w:highlight w:val="none"/>
        </w:rPr>
      </w:pPr>
      <w:r>
        <w:rPr>
          <w:rFonts w:hint="eastAsia" w:ascii="宋体" w:hAnsi="宋体" w:cs="宋体"/>
          <w:color w:val="auto"/>
          <w:highlight w:val="none"/>
        </w:rPr>
        <w:t>备注：表格可以延续</w:t>
      </w:r>
      <w:bookmarkEnd w:id="262"/>
    </w:p>
    <w:p w14:paraId="595C1933">
      <w:pPr>
        <w:pStyle w:val="12"/>
        <w:tabs>
          <w:tab w:val="left" w:pos="1069"/>
          <w:tab w:val="left" w:pos="2352"/>
        </w:tabs>
        <w:spacing w:line="360" w:lineRule="exact"/>
        <w:rPr>
          <w:rFonts w:hAnsi="宋体" w:cs="宋体"/>
          <w:color w:val="auto"/>
          <w:sz w:val="22"/>
          <w:highlight w:val="none"/>
        </w:rPr>
      </w:pPr>
    </w:p>
    <w:p w14:paraId="70700631">
      <w:pPr>
        <w:tabs>
          <w:tab w:val="left" w:pos="1069"/>
          <w:tab w:val="left" w:pos="2352"/>
        </w:tabs>
        <w:rPr>
          <w:rFonts w:ascii="宋体" w:hAnsi="宋体" w:cs="宋体"/>
          <w:b/>
          <w:bCs/>
          <w:color w:val="auto"/>
          <w:sz w:val="32"/>
          <w:szCs w:val="32"/>
          <w:highlight w:val="none"/>
        </w:rPr>
      </w:pPr>
    </w:p>
    <w:p w14:paraId="47E2AFEF">
      <w:pPr>
        <w:tabs>
          <w:tab w:val="left" w:pos="1069"/>
          <w:tab w:val="left" w:pos="2352"/>
        </w:tabs>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八</w:t>
      </w:r>
    </w:p>
    <w:p w14:paraId="2F69294D">
      <w:pPr>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供应商项目服务人员汇总表</w:t>
      </w:r>
    </w:p>
    <w:p w14:paraId="20C7B587">
      <w:pPr>
        <w:tabs>
          <w:tab w:val="left" w:pos="1069"/>
          <w:tab w:val="left" w:pos="2352"/>
        </w:tabs>
        <w:spacing w:line="360" w:lineRule="auto"/>
        <w:rPr>
          <w:rFonts w:ascii="宋体" w:hAnsi="宋体" w:cs="宋体"/>
          <w:color w:val="auto"/>
          <w:sz w:val="22"/>
          <w:highlight w:val="none"/>
          <w:u w:val="single"/>
          <w:lang w:val="zh-CN"/>
        </w:rPr>
      </w:pPr>
      <w:r>
        <w:rPr>
          <w:rFonts w:hint="eastAsia" w:ascii="宋体" w:hAnsi="宋体" w:cs="宋体"/>
          <w:color w:val="auto"/>
          <w:sz w:val="22"/>
          <w:highlight w:val="none"/>
        </w:rPr>
        <w:t>项目名称：</w:t>
      </w:r>
      <w:r>
        <w:rPr>
          <w:rFonts w:hint="eastAsia" w:ascii="宋体" w:hAnsi="宋体" w:cs="宋体"/>
          <w:color w:val="auto"/>
          <w:sz w:val="22"/>
          <w:highlight w:val="none"/>
          <w:u w:val="single"/>
          <w:lang w:val="zh-CN"/>
        </w:rPr>
        <w:t>2024年泰顺县司前畲族镇黄桥村晓燕自然村上燕农田宜机化改造项目</w:t>
      </w:r>
    </w:p>
    <w:p w14:paraId="7BCDB410">
      <w:pPr>
        <w:tabs>
          <w:tab w:val="left" w:pos="1069"/>
          <w:tab w:val="left" w:pos="2352"/>
        </w:tabs>
        <w:spacing w:line="360" w:lineRule="auto"/>
        <w:rPr>
          <w:rFonts w:ascii="宋体" w:hAnsi="宋体" w:cs="宋体"/>
          <w:bCs/>
          <w:color w:val="auto"/>
          <w:sz w:val="22"/>
          <w:highlight w:val="none"/>
        </w:rPr>
      </w:pPr>
      <w:r>
        <w:rPr>
          <w:rFonts w:hint="eastAsia" w:ascii="宋体" w:hAnsi="宋体" w:cs="宋体"/>
          <w:color w:val="auto"/>
          <w:sz w:val="22"/>
          <w:highlight w:val="none"/>
        </w:rPr>
        <w:t>采购编号：</w:t>
      </w:r>
      <w:r>
        <w:rPr>
          <w:rFonts w:hint="eastAsia" w:ascii="宋体" w:hAnsi="宋体" w:cs="宋体"/>
          <w:color w:val="auto"/>
          <w:sz w:val="22"/>
          <w:highlight w:val="none"/>
          <w:u w:val="single"/>
          <w:lang w:val="zh-CN"/>
        </w:rPr>
        <w:t>TSCG202501004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720"/>
        <w:gridCol w:w="720"/>
        <w:gridCol w:w="720"/>
        <w:gridCol w:w="1080"/>
        <w:gridCol w:w="1458"/>
        <w:gridCol w:w="1560"/>
      </w:tblGrid>
      <w:tr w14:paraId="3D2E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28" w:type="dxa"/>
            <w:vAlign w:val="center"/>
          </w:tcPr>
          <w:p w14:paraId="6B3E0D25">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姓名</w:t>
            </w:r>
          </w:p>
        </w:tc>
        <w:tc>
          <w:tcPr>
            <w:tcW w:w="2520" w:type="dxa"/>
            <w:vAlign w:val="center"/>
          </w:tcPr>
          <w:p w14:paraId="051A8994">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本项目主要工作</w:t>
            </w:r>
          </w:p>
        </w:tc>
        <w:tc>
          <w:tcPr>
            <w:tcW w:w="720" w:type="dxa"/>
            <w:vAlign w:val="center"/>
          </w:tcPr>
          <w:p w14:paraId="3D43E5A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年龄</w:t>
            </w:r>
          </w:p>
        </w:tc>
        <w:tc>
          <w:tcPr>
            <w:tcW w:w="720" w:type="dxa"/>
            <w:vAlign w:val="center"/>
          </w:tcPr>
          <w:p w14:paraId="0BFA1F1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性别</w:t>
            </w:r>
          </w:p>
        </w:tc>
        <w:tc>
          <w:tcPr>
            <w:tcW w:w="720" w:type="dxa"/>
            <w:vAlign w:val="center"/>
          </w:tcPr>
          <w:p w14:paraId="59769CB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tc>
        <w:tc>
          <w:tcPr>
            <w:tcW w:w="1080" w:type="dxa"/>
            <w:vAlign w:val="center"/>
          </w:tcPr>
          <w:p w14:paraId="325C6129">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p w14:paraId="4B3867E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年限</w:t>
            </w:r>
          </w:p>
        </w:tc>
        <w:tc>
          <w:tcPr>
            <w:tcW w:w="1458" w:type="dxa"/>
            <w:vAlign w:val="center"/>
          </w:tcPr>
          <w:p w14:paraId="291E34BC">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职务</w:t>
            </w:r>
          </w:p>
          <w:p w14:paraId="148BE74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和职称/认证</w:t>
            </w:r>
          </w:p>
        </w:tc>
        <w:tc>
          <w:tcPr>
            <w:tcW w:w="1560" w:type="dxa"/>
            <w:vAlign w:val="center"/>
          </w:tcPr>
          <w:p w14:paraId="08DCE19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备注</w:t>
            </w:r>
          </w:p>
        </w:tc>
      </w:tr>
      <w:tr w14:paraId="37C5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98C445">
            <w:pPr>
              <w:tabs>
                <w:tab w:val="left" w:pos="1069"/>
                <w:tab w:val="left" w:pos="2352"/>
              </w:tabs>
              <w:spacing w:line="360" w:lineRule="auto"/>
              <w:rPr>
                <w:rFonts w:ascii="宋体" w:hAnsi="宋体" w:cs="宋体"/>
                <w:color w:val="auto"/>
                <w:sz w:val="22"/>
                <w:highlight w:val="none"/>
              </w:rPr>
            </w:pPr>
          </w:p>
        </w:tc>
        <w:tc>
          <w:tcPr>
            <w:tcW w:w="2520" w:type="dxa"/>
            <w:vAlign w:val="center"/>
          </w:tcPr>
          <w:p w14:paraId="5A0DC21B">
            <w:pPr>
              <w:tabs>
                <w:tab w:val="left" w:pos="1069"/>
                <w:tab w:val="left" w:pos="2352"/>
              </w:tabs>
              <w:spacing w:line="360" w:lineRule="auto"/>
              <w:rPr>
                <w:rFonts w:ascii="宋体" w:hAnsi="宋体" w:cs="宋体"/>
                <w:color w:val="auto"/>
                <w:sz w:val="22"/>
                <w:highlight w:val="none"/>
              </w:rPr>
            </w:pPr>
          </w:p>
        </w:tc>
        <w:tc>
          <w:tcPr>
            <w:tcW w:w="720" w:type="dxa"/>
            <w:vAlign w:val="center"/>
          </w:tcPr>
          <w:p w14:paraId="0F5CEB3B">
            <w:pPr>
              <w:tabs>
                <w:tab w:val="left" w:pos="1069"/>
                <w:tab w:val="left" w:pos="2352"/>
              </w:tabs>
              <w:spacing w:line="360" w:lineRule="auto"/>
              <w:rPr>
                <w:rFonts w:ascii="宋体" w:hAnsi="宋体" w:cs="宋体"/>
                <w:color w:val="auto"/>
                <w:sz w:val="22"/>
                <w:highlight w:val="none"/>
              </w:rPr>
            </w:pPr>
          </w:p>
        </w:tc>
        <w:tc>
          <w:tcPr>
            <w:tcW w:w="720" w:type="dxa"/>
            <w:vAlign w:val="center"/>
          </w:tcPr>
          <w:p w14:paraId="643BED09">
            <w:pPr>
              <w:tabs>
                <w:tab w:val="left" w:pos="1069"/>
                <w:tab w:val="left" w:pos="2352"/>
              </w:tabs>
              <w:spacing w:line="360" w:lineRule="auto"/>
              <w:rPr>
                <w:rFonts w:ascii="宋体" w:hAnsi="宋体" w:cs="宋体"/>
                <w:color w:val="auto"/>
                <w:sz w:val="22"/>
                <w:highlight w:val="none"/>
              </w:rPr>
            </w:pPr>
          </w:p>
        </w:tc>
        <w:tc>
          <w:tcPr>
            <w:tcW w:w="720" w:type="dxa"/>
            <w:vAlign w:val="center"/>
          </w:tcPr>
          <w:p w14:paraId="65FBFC74">
            <w:pPr>
              <w:tabs>
                <w:tab w:val="left" w:pos="1069"/>
                <w:tab w:val="left" w:pos="2352"/>
              </w:tabs>
              <w:spacing w:line="360" w:lineRule="auto"/>
              <w:rPr>
                <w:rFonts w:ascii="宋体" w:hAnsi="宋体" w:cs="宋体"/>
                <w:color w:val="auto"/>
                <w:sz w:val="22"/>
                <w:highlight w:val="none"/>
              </w:rPr>
            </w:pPr>
          </w:p>
        </w:tc>
        <w:tc>
          <w:tcPr>
            <w:tcW w:w="1080" w:type="dxa"/>
            <w:vAlign w:val="center"/>
          </w:tcPr>
          <w:p w14:paraId="176B738C">
            <w:pPr>
              <w:tabs>
                <w:tab w:val="left" w:pos="1069"/>
                <w:tab w:val="left" w:pos="2352"/>
              </w:tabs>
              <w:spacing w:line="360" w:lineRule="auto"/>
              <w:rPr>
                <w:rFonts w:ascii="宋体" w:hAnsi="宋体" w:cs="宋体"/>
                <w:color w:val="auto"/>
                <w:sz w:val="22"/>
                <w:highlight w:val="none"/>
              </w:rPr>
            </w:pPr>
          </w:p>
        </w:tc>
        <w:tc>
          <w:tcPr>
            <w:tcW w:w="1458" w:type="dxa"/>
            <w:vAlign w:val="center"/>
          </w:tcPr>
          <w:p w14:paraId="2AE8914C">
            <w:pPr>
              <w:tabs>
                <w:tab w:val="left" w:pos="1069"/>
                <w:tab w:val="left" w:pos="2352"/>
              </w:tabs>
              <w:spacing w:line="360" w:lineRule="auto"/>
              <w:ind w:left="5250"/>
              <w:rPr>
                <w:rFonts w:ascii="宋体" w:hAnsi="宋体" w:cs="宋体"/>
                <w:color w:val="auto"/>
                <w:spacing w:val="12"/>
                <w:sz w:val="22"/>
                <w:highlight w:val="none"/>
              </w:rPr>
            </w:pPr>
          </w:p>
        </w:tc>
        <w:tc>
          <w:tcPr>
            <w:tcW w:w="1560" w:type="dxa"/>
            <w:vAlign w:val="center"/>
          </w:tcPr>
          <w:p w14:paraId="0F46113F">
            <w:pPr>
              <w:tabs>
                <w:tab w:val="left" w:pos="1069"/>
                <w:tab w:val="left" w:pos="2352"/>
              </w:tabs>
              <w:spacing w:line="360" w:lineRule="auto"/>
              <w:rPr>
                <w:rFonts w:ascii="宋体" w:hAnsi="宋体" w:cs="宋体"/>
                <w:color w:val="auto"/>
                <w:sz w:val="22"/>
                <w:highlight w:val="none"/>
              </w:rPr>
            </w:pPr>
          </w:p>
        </w:tc>
      </w:tr>
      <w:tr w14:paraId="2BC5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72BED21">
            <w:pPr>
              <w:tabs>
                <w:tab w:val="left" w:pos="1069"/>
                <w:tab w:val="left" w:pos="2352"/>
              </w:tabs>
              <w:spacing w:line="360" w:lineRule="auto"/>
              <w:rPr>
                <w:rFonts w:ascii="宋体" w:hAnsi="宋体" w:cs="宋体"/>
                <w:color w:val="auto"/>
                <w:sz w:val="22"/>
                <w:highlight w:val="none"/>
              </w:rPr>
            </w:pPr>
          </w:p>
        </w:tc>
        <w:tc>
          <w:tcPr>
            <w:tcW w:w="2520" w:type="dxa"/>
            <w:vAlign w:val="center"/>
          </w:tcPr>
          <w:p w14:paraId="5CC37C78">
            <w:pPr>
              <w:tabs>
                <w:tab w:val="left" w:pos="1069"/>
                <w:tab w:val="left" w:pos="2352"/>
              </w:tabs>
              <w:spacing w:line="360" w:lineRule="auto"/>
              <w:rPr>
                <w:rFonts w:ascii="宋体" w:hAnsi="宋体" w:cs="宋体"/>
                <w:color w:val="auto"/>
                <w:sz w:val="22"/>
                <w:highlight w:val="none"/>
              </w:rPr>
            </w:pPr>
          </w:p>
        </w:tc>
        <w:tc>
          <w:tcPr>
            <w:tcW w:w="720" w:type="dxa"/>
            <w:vAlign w:val="center"/>
          </w:tcPr>
          <w:p w14:paraId="7C0F4784">
            <w:pPr>
              <w:tabs>
                <w:tab w:val="left" w:pos="1069"/>
                <w:tab w:val="left" w:pos="2352"/>
              </w:tabs>
              <w:spacing w:line="360" w:lineRule="auto"/>
              <w:rPr>
                <w:rFonts w:ascii="宋体" w:hAnsi="宋体" w:cs="宋体"/>
                <w:color w:val="auto"/>
                <w:sz w:val="22"/>
                <w:highlight w:val="none"/>
              </w:rPr>
            </w:pPr>
          </w:p>
        </w:tc>
        <w:tc>
          <w:tcPr>
            <w:tcW w:w="720" w:type="dxa"/>
            <w:vAlign w:val="center"/>
          </w:tcPr>
          <w:p w14:paraId="71803637">
            <w:pPr>
              <w:tabs>
                <w:tab w:val="left" w:pos="1069"/>
                <w:tab w:val="left" w:pos="2352"/>
              </w:tabs>
              <w:spacing w:line="360" w:lineRule="auto"/>
              <w:rPr>
                <w:rFonts w:ascii="宋体" w:hAnsi="宋体" w:cs="宋体"/>
                <w:color w:val="auto"/>
                <w:sz w:val="22"/>
                <w:highlight w:val="none"/>
              </w:rPr>
            </w:pPr>
          </w:p>
        </w:tc>
        <w:tc>
          <w:tcPr>
            <w:tcW w:w="720" w:type="dxa"/>
            <w:vAlign w:val="center"/>
          </w:tcPr>
          <w:p w14:paraId="7178BE29">
            <w:pPr>
              <w:tabs>
                <w:tab w:val="left" w:pos="1069"/>
                <w:tab w:val="left" w:pos="2352"/>
              </w:tabs>
              <w:spacing w:line="360" w:lineRule="auto"/>
              <w:rPr>
                <w:rFonts w:ascii="宋体" w:hAnsi="宋体" w:cs="宋体"/>
                <w:color w:val="auto"/>
                <w:sz w:val="22"/>
                <w:highlight w:val="none"/>
              </w:rPr>
            </w:pPr>
          </w:p>
        </w:tc>
        <w:tc>
          <w:tcPr>
            <w:tcW w:w="1080" w:type="dxa"/>
            <w:vAlign w:val="center"/>
          </w:tcPr>
          <w:p w14:paraId="7551FE49">
            <w:pPr>
              <w:tabs>
                <w:tab w:val="left" w:pos="1069"/>
                <w:tab w:val="left" w:pos="2352"/>
              </w:tabs>
              <w:spacing w:line="360" w:lineRule="auto"/>
              <w:rPr>
                <w:rFonts w:ascii="宋体" w:hAnsi="宋体" w:cs="宋体"/>
                <w:color w:val="auto"/>
                <w:sz w:val="22"/>
                <w:highlight w:val="none"/>
              </w:rPr>
            </w:pPr>
          </w:p>
        </w:tc>
        <w:tc>
          <w:tcPr>
            <w:tcW w:w="1458" w:type="dxa"/>
            <w:vAlign w:val="center"/>
          </w:tcPr>
          <w:p w14:paraId="59462AD2">
            <w:pPr>
              <w:tabs>
                <w:tab w:val="left" w:pos="1069"/>
                <w:tab w:val="left" w:pos="2352"/>
              </w:tabs>
              <w:spacing w:line="360" w:lineRule="auto"/>
              <w:rPr>
                <w:rFonts w:ascii="宋体" w:hAnsi="宋体" w:cs="宋体"/>
                <w:color w:val="auto"/>
                <w:sz w:val="22"/>
                <w:highlight w:val="none"/>
              </w:rPr>
            </w:pPr>
          </w:p>
        </w:tc>
        <w:tc>
          <w:tcPr>
            <w:tcW w:w="1560" w:type="dxa"/>
            <w:vAlign w:val="center"/>
          </w:tcPr>
          <w:p w14:paraId="7411F9F6">
            <w:pPr>
              <w:tabs>
                <w:tab w:val="left" w:pos="1069"/>
                <w:tab w:val="left" w:pos="2352"/>
              </w:tabs>
              <w:spacing w:line="360" w:lineRule="auto"/>
              <w:ind w:left="5250"/>
              <w:rPr>
                <w:rFonts w:ascii="宋体" w:hAnsi="宋体" w:cs="宋体"/>
                <w:color w:val="auto"/>
                <w:spacing w:val="12"/>
                <w:sz w:val="22"/>
                <w:highlight w:val="none"/>
              </w:rPr>
            </w:pPr>
          </w:p>
        </w:tc>
      </w:tr>
      <w:tr w14:paraId="40A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F9547A1">
            <w:pPr>
              <w:tabs>
                <w:tab w:val="left" w:pos="1069"/>
                <w:tab w:val="left" w:pos="2352"/>
              </w:tabs>
              <w:spacing w:line="360" w:lineRule="auto"/>
              <w:rPr>
                <w:rFonts w:ascii="宋体" w:hAnsi="宋体" w:cs="宋体"/>
                <w:color w:val="auto"/>
                <w:sz w:val="22"/>
                <w:highlight w:val="none"/>
              </w:rPr>
            </w:pPr>
          </w:p>
        </w:tc>
        <w:tc>
          <w:tcPr>
            <w:tcW w:w="2520" w:type="dxa"/>
            <w:vAlign w:val="center"/>
          </w:tcPr>
          <w:p w14:paraId="247D1621">
            <w:pPr>
              <w:tabs>
                <w:tab w:val="left" w:pos="1069"/>
                <w:tab w:val="left" w:pos="2352"/>
              </w:tabs>
              <w:spacing w:line="360" w:lineRule="auto"/>
              <w:rPr>
                <w:rFonts w:ascii="宋体" w:hAnsi="宋体" w:cs="宋体"/>
                <w:color w:val="auto"/>
                <w:sz w:val="22"/>
                <w:highlight w:val="none"/>
              </w:rPr>
            </w:pPr>
          </w:p>
        </w:tc>
        <w:tc>
          <w:tcPr>
            <w:tcW w:w="720" w:type="dxa"/>
            <w:vAlign w:val="center"/>
          </w:tcPr>
          <w:p w14:paraId="0CDBD01A">
            <w:pPr>
              <w:tabs>
                <w:tab w:val="left" w:pos="1069"/>
                <w:tab w:val="left" w:pos="2352"/>
              </w:tabs>
              <w:spacing w:line="360" w:lineRule="auto"/>
              <w:rPr>
                <w:rFonts w:ascii="宋体" w:hAnsi="宋体" w:cs="宋体"/>
                <w:color w:val="auto"/>
                <w:sz w:val="22"/>
                <w:highlight w:val="none"/>
              </w:rPr>
            </w:pPr>
          </w:p>
        </w:tc>
        <w:tc>
          <w:tcPr>
            <w:tcW w:w="720" w:type="dxa"/>
            <w:vAlign w:val="center"/>
          </w:tcPr>
          <w:p w14:paraId="1F22F078">
            <w:pPr>
              <w:tabs>
                <w:tab w:val="left" w:pos="1069"/>
                <w:tab w:val="left" w:pos="2352"/>
              </w:tabs>
              <w:spacing w:line="360" w:lineRule="auto"/>
              <w:rPr>
                <w:rFonts w:ascii="宋体" w:hAnsi="宋体" w:cs="宋体"/>
                <w:color w:val="auto"/>
                <w:sz w:val="22"/>
                <w:highlight w:val="none"/>
              </w:rPr>
            </w:pPr>
          </w:p>
        </w:tc>
        <w:tc>
          <w:tcPr>
            <w:tcW w:w="720" w:type="dxa"/>
            <w:vAlign w:val="center"/>
          </w:tcPr>
          <w:p w14:paraId="7F00A98D">
            <w:pPr>
              <w:tabs>
                <w:tab w:val="left" w:pos="1069"/>
                <w:tab w:val="left" w:pos="2352"/>
              </w:tabs>
              <w:spacing w:line="360" w:lineRule="auto"/>
              <w:rPr>
                <w:rFonts w:ascii="宋体" w:hAnsi="宋体" w:cs="宋体"/>
                <w:color w:val="auto"/>
                <w:sz w:val="22"/>
                <w:highlight w:val="none"/>
              </w:rPr>
            </w:pPr>
          </w:p>
        </w:tc>
        <w:tc>
          <w:tcPr>
            <w:tcW w:w="1080" w:type="dxa"/>
            <w:vAlign w:val="center"/>
          </w:tcPr>
          <w:p w14:paraId="6CC4E622">
            <w:pPr>
              <w:tabs>
                <w:tab w:val="left" w:pos="1069"/>
                <w:tab w:val="left" w:pos="2352"/>
              </w:tabs>
              <w:spacing w:line="360" w:lineRule="auto"/>
              <w:rPr>
                <w:rFonts w:ascii="宋体" w:hAnsi="宋体" w:cs="宋体"/>
                <w:color w:val="auto"/>
                <w:sz w:val="22"/>
                <w:highlight w:val="none"/>
              </w:rPr>
            </w:pPr>
          </w:p>
        </w:tc>
        <w:tc>
          <w:tcPr>
            <w:tcW w:w="1458" w:type="dxa"/>
            <w:vAlign w:val="center"/>
          </w:tcPr>
          <w:p w14:paraId="10B4573B">
            <w:pPr>
              <w:tabs>
                <w:tab w:val="left" w:pos="1069"/>
                <w:tab w:val="left" w:pos="2352"/>
              </w:tabs>
              <w:spacing w:line="360" w:lineRule="auto"/>
              <w:rPr>
                <w:rFonts w:ascii="宋体" w:hAnsi="宋体" w:cs="宋体"/>
                <w:color w:val="auto"/>
                <w:sz w:val="22"/>
                <w:highlight w:val="none"/>
              </w:rPr>
            </w:pPr>
          </w:p>
        </w:tc>
        <w:tc>
          <w:tcPr>
            <w:tcW w:w="1560" w:type="dxa"/>
            <w:vAlign w:val="center"/>
          </w:tcPr>
          <w:p w14:paraId="54AF946D">
            <w:pPr>
              <w:tabs>
                <w:tab w:val="left" w:pos="1069"/>
                <w:tab w:val="left" w:pos="2352"/>
              </w:tabs>
              <w:spacing w:line="360" w:lineRule="auto"/>
              <w:rPr>
                <w:rFonts w:ascii="宋体" w:hAnsi="宋体" w:cs="宋体"/>
                <w:color w:val="auto"/>
                <w:sz w:val="22"/>
                <w:highlight w:val="none"/>
              </w:rPr>
            </w:pPr>
          </w:p>
        </w:tc>
      </w:tr>
      <w:tr w14:paraId="7D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1FE69D5">
            <w:pPr>
              <w:tabs>
                <w:tab w:val="left" w:pos="1069"/>
                <w:tab w:val="left" w:pos="2352"/>
              </w:tabs>
              <w:spacing w:line="360" w:lineRule="auto"/>
              <w:rPr>
                <w:rFonts w:ascii="宋体" w:hAnsi="宋体" w:cs="宋体"/>
                <w:color w:val="auto"/>
                <w:sz w:val="22"/>
                <w:highlight w:val="none"/>
              </w:rPr>
            </w:pPr>
          </w:p>
        </w:tc>
        <w:tc>
          <w:tcPr>
            <w:tcW w:w="2520" w:type="dxa"/>
            <w:vAlign w:val="center"/>
          </w:tcPr>
          <w:p w14:paraId="7E08B0CC">
            <w:pPr>
              <w:tabs>
                <w:tab w:val="left" w:pos="1069"/>
                <w:tab w:val="left" w:pos="2352"/>
              </w:tabs>
              <w:spacing w:line="360" w:lineRule="auto"/>
              <w:rPr>
                <w:rFonts w:ascii="宋体" w:hAnsi="宋体" w:cs="宋体"/>
                <w:color w:val="auto"/>
                <w:sz w:val="22"/>
                <w:highlight w:val="none"/>
              </w:rPr>
            </w:pPr>
          </w:p>
        </w:tc>
        <w:tc>
          <w:tcPr>
            <w:tcW w:w="720" w:type="dxa"/>
            <w:vAlign w:val="center"/>
          </w:tcPr>
          <w:p w14:paraId="77FBDE23">
            <w:pPr>
              <w:tabs>
                <w:tab w:val="left" w:pos="1069"/>
                <w:tab w:val="left" w:pos="2352"/>
              </w:tabs>
              <w:spacing w:line="360" w:lineRule="auto"/>
              <w:rPr>
                <w:rFonts w:ascii="宋体" w:hAnsi="宋体" w:cs="宋体"/>
                <w:color w:val="auto"/>
                <w:sz w:val="22"/>
                <w:highlight w:val="none"/>
              </w:rPr>
            </w:pPr>
          </w:p>
        </w:tc>
        <w:tc>
          <w:tcPr>
            <w:tcW w:w="720" w:type="dxa"/>
            <w:vAlign w:val="center"/>
          </w:tcPr>
          <w:p w14:paraId="674332ED">
            <w:pPr>
              <w:tabs>
                <w:tab w:val="left" w:pos="1069"/>
                <w:tab w:val="left" w:pos="2352"/>
              </w:tabs>
              <w:spacing w:line="360" w:lineRule="auto"/>
              <w:rPr>
                <w:rFonts w:ascii="宋体" w:hAnsi="宋体" w:cs="宋体"/>
                <w:color w:val="auto"/>
                <w:sz w:val="22"/>
                <w:highlight w:val="none"/>
              </w:rPr>
            </w:pPr>
          </w:p>
        </w:tc>
        <w:tc>
          <w:tcPr>
            <w:tcW w:w="720" w:type="dxa"/>
            <w:vAlign w:val="center"/>
          </w:tcPr>
          <w:p w14:paraId="66B4ADB0">
            <w:pPr>
              <w:tabs>
                <w:tab w:val="left" w:pos="1069"/>
                <w:tab w:val="left" w:pos="2352"/>
              </w:tabs>
              <w:spacing w:line="360" w:lineRule="auto"/>
              <w:rPr>
                <w:rFonts w:ascii="宋体" w:hAnsi="宋体" w:cs="宋体"/>
                <w:color w:val="auto"/>
                <w:sz w:val="22"/>
                <w:highlight w:val="none"/>
              </w:rPr>
            </w:pPr>
          </w:p>
        </w:tc>
        <w:tc>
          <w:tcPr>
            <w:tcW w:w="1080" w:type="dxa"/>
            <w:vAlign w:val="center"/>
          </w:tcPr>
          <w:p w14:paraId="4C2B8F89">
            <w:pPr>
              <w:tabs>
                <w:tab w:val="left" w:pos="1069"/>
                <w:tab w:val="left" w:pos="2352"/>
              </w:tabs>
              <w:spacing w:line="360" w:lineRule="auto"/>
              <w:rPr>
                <w:rFonts w:ascii="宋体" w:hAnsi="宋体" w:cs="宋体"/>
                <w:color w:val="auto"/>
                <w:sz w:val="22"/>
                <w:highlight w:val="none"/>
              </w:rPr>
            </w:pPr>
          </w:p>
        </w:tc>
        <w:tc>
          <w:tcPr>
            <w:tcW w:w="1458" w:type="dxa"/>
            <w:vAlign w:val="center"/>
          </w:tcPr>
          <w:p w14:paraId="6FEEF9C2">
            <w:pPr>
              <w:tabs>
                <w:tab w:val="left" w:pos="1069"/>
                <w:tab w:val="left" w:pos="2352"/>
              </w:tabs>
              <w:spacing w:line="360" w:lineRule="auto"/>
              <w:rPr>
                <w:rFonts w:ascii="宋体" w:hAnsi="宋体" w:cs="宋体"/>
                <w:color w:val="auto"/>
                <w:sz w:val="22"/>
                <w:highlight w:val="none"/>
              </w:rPr>
            </w:pPr>
          </w:p>
        </w:tc>
        <w:tc>
          <w:tcPr>
            <w:tcW w:w="1560" w:type="dxa"/>
            <w:vAlign w:val="center"/>
          </w:tcPr>
          <w:p w14:paraId="17FEB79D">
            <w:pPr>
              <w:tabs>
                <w:tab w:val="left" w:pos="1069"/>
                <w:tab w:val="left" w:pos="2352"/>
              </w:tabs>
              <w:spacing w:line="360" w:lineRule="auto"/>
              <w:rPr>
                <w:rFonts w:ascii="宋体" w:hAnsi="宋体" w:cs="宋体"/>
                <w:color w:val="auto"/>
                <w:sz w:val="22"/>
                <w:highlight w:val="none"/>
              </w:rPr>
            </w:pPr>
          </w:p>
        </w:tc>
      </w:tr>
      <w:tr w14:paraId="6178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0F7C50A">
            <w:pPr>
              <w:tabs>
                <w:tab w:val="left" w:pos="1069"/>
                <w:tab w:val="left" w:pos="2352"/>
              </w:tabs>
              <w:spacing w:line="360" w:lineRule="auto"/>
              <w:rPr>
                <w:rFonts w:ascii="宋体" w:hAnsi="宋体" w:cs="宋体"/>
                <w:color w:val="auto"/>
                <w:sz w:val="22"/>
                <w:highlight w:val="none"/>
              </w:rPr>
            </w:pPr>
          </w:p>
        </w:tc>
        <w:tc>
          <w:tcPr>
            <w:tcW w:w="2520" w:type="dxa"/>
            <w:vAlign w:val="center"/>
          </w:tcPr>
          <w:p w14:paraId="4FD1DFF4">
            <w:pPr>
              <w:tabs>
                <w:tab w:val="left" w:pos="1069"/>
                <w:tab w:val="left" w:pos="2352"/>
              </w:tabs>
              <w:spacing w:line="360" w:lineRule="auto"/>
              <w:rPr>
                <w:rFonts w:ascii="宋体" w:hAnsi="宋体" w:cs="宋体"/>
                <w:color w:val="auto"/>
                <w:sz w:val="22"/>
                <w:highlight w:val="none"/>
              </w:rPr>
            </w:pPr>
          </w:p>
        </w:tc>
        <w:tc>
          <w:tcPr>
            <w:tcW w:w="720" w:type="dxa"/>
            <w:vAlign w:val="center"/>
          </w:tcPr>
          <w:p w14:paraId="4B007DAE">
            <w:pPr>
              <w:tabs>
                <w:tab w:val="left" w:pos="1069"/>
                <w:tab w:val="left" w:pos="2352"/>
              </w:tabs>
              <w:spacing w:line="360" w:lineRule="auto"/>
              <w:rPr>
                <w:rFonts w:ascii="宋体" w:hAnsi="宋体" w:cs="宋体"/>
                <w:color w:val="auto"/>
                <w:sz w:val="22"/>
                <w:highlight w:val="none"/>
              </w:rPr>
            </w:pPr>
          </w:p>
        </w:tc>
        <w:tc>
          <w:tcPr>
            <w:tcW w:w="720" w:type="dxa"/>
            <w:vAlign w:val="center"/>
          </w:tcPr>
          <w:p w14:paraId="5A2DCE2B">
            <w:pPr>
              <w:tabs>
                <w:tab w:val="left" w:pos="1069"/>
                <w:tab w:val="left" w:pos="2352"/>
              </w:tabs>
              <w:spacing w:line="360" w:lineRule="auto"/>
              <w:rPr>
                <w:rFonts w:ascii="宋体" w:hAnsi="宋体" w:cs="宋体"/>
                <w:color w:val="auto"/>
                <w:sz w:val="22"/>
                <w:highlight w:val="none"/>
              </w:rPr>
            </w:pPr>
          </w:p>
        </w:tc>
        <w:tc>
          <w:tcPr>
            <w:tcW w:w="720" w:type="dxa"/>
            <w:vAlign w:val="center"/>
          </w:tcPr>
          <w:p w14:paraId="757EF4EA">
            <w:pPr>
              <w:tabs>
                <w:tab w:val="left" w:pos="1069"/>
                <w:tab w:val="left" w:pos="2352"/>
              </w:tabs>
              <w:spacing w:line="360" w:lineRule="auto"/>
              <w:rPr>
                <w:rFonts w:ascii="宋体" w:hAnsi="宋体" w:cs="宋体"/>
                <w:color w:val="auto"/>
                <w:sz w:val="22"/>
                <w:highlight w:val="none"/>
              </w:rPr>
            </w:pPr>
          </w:p>
        </w:tc>
        <w:tc>
          <w:tcPr>
            <w:tcW w:w="1080" w:type="dxa"/>
            <w:vAlign w:val="center"/>
          </w:tcPr>
          <w:p w14:paraId="4E8E1460">
            <w:pPr>
              <w:tabs>
                <w:tab w:val="left" w:pos="1069"/>
                <w:tab w:val="left" w:pos="2352"/>
              </w:tabs>
              <w:spacing w:line="360" w:lineRule="auto"/>
              <w:rPr>
                <w:rFonts w:ascii="宋体" w:hAnsi="宋体" w:cs="宋体"/>
                <w:color w:val="auto"/>
                <w:sz w:val="22"/>
                <w:highlight w:val="none"/>
              </w:rPr>
            </w:pPr>
          </w:p>
        </w:tc>
        <w:tc>
          <w:tcPr>
            <w:tcW w:w="1458" w:type="dxa"/>
            <w:vAlign w:val="center"/>
          </w:tcPr>
          <w:p w14:paraId="43B827D4">
            <w:pPr>
              <w:tabs>
                <w:tab w:val="left" w:pos="1069"/>
                <w:tab w:val="left" w:pos="2352"/>
              </w:tabs>
              <w:spacing w:line="360" w:lineRule="auto"/>
              <w:rPr>
                <w:rFonts w:ascii="宋体" w:hAnsi="宋体" w:cs="宋体"/>
                <w:color w:val="auto"/>
                <w:sz w:val="22"/>
                <w:highlight w:val="none"/>
              </w:rPr>
            </w:pPr>
          </w:p>
        </w:tc>
        <w:tc>
          <w:tcPr>
            <w:tcW w:w="1560" w:type="dxa"/>
            <w:vAlign w:val="center"/>
          </w:tcPr>
          <w:p w14:paraId="25799FA1">
            <w:pPr>
              <w:tabs>
                <w:tab w:val="left" w:pos="1069"/>
                <w:tab w:val="left" w:pos="2352"/>
              </w:tabs>
              <w:spacing w:line="360" w:lineRule="auto"/>
              <w:rPr>
                <w:rFonts w:ascii="宋体" w:hAnsi="宋体" w:cs="宋体"/>
                <w:color w:val="auto"/>
                <w:sz w:val="22"/>
                <w:highlight w:val="none"/>
              </w:rPr>
            </w:pPr>
          </w:p>
        </w:tc>
      </w:tr>
      <w:tr w14:paraId="3B7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B9F5127">
            <w:pPr>
              <w:tabs>
                <w:tab w:val="left" w:pos="1069"/>
                <w:tab w:val="left" w:pos="2352"/>
              </w:tabs>
              <w:spacing w:line="360" w:lineRule="auto"/>
              <w:rPr>
                <w:rFonts w:ascii="宋体" w:hAnsi="宋体" w:cs="宋体"/>
                <w:color w:val="auto"/>
                <w:sz w:val="22"/>
                <w:highlight w:val="none"/>
              </w:rPr>
            </w:pPr>
          </w:p>
        </w:tc>
        <w:tc>
          <w:tcPr>
            <w:tcW w:w="2520" w:type="dxa"/>
            <w:vAlign w:val="center"/>
          </w:tcPr>
          <w:p w14:paraId="31E9B42E">
            <w:pPr>
              <w:tabs>
                <w:tab w:val="left" w:pos="1069"/>
                <w:tab w:val="left" w:pos="2352"/>
              </w:tabs>
              <w:spacing w:line="360" w:lineRule="auto"/>
              <w:rPr>
                <w:rFonts w:ascii="宋体" w:hAnsi="宋体" w:cs="宋体"/>
                <w:color w:val="auto"/>
                <w:sz w:val="22"/>
                <w:highlight w:val="none"/>
              </w:rPr>
            </w:pPr>
          </w:p>
        </w:tc>
        <w:tc>
          <w:tcPr>
            <w:tcW w:w="720" w:type="dxa"/>
            <w:vAlign w:val="center"/>
          </w:tcPr>
          <w:p w14:paraId="3DBC5BE1">
            <w:pPr>
              <w:tabs>
                <w:tab w:val="left" w:pos="1069"/>
                <w:tab w:val="left" w:pos="2352"/>
              </w:tabs>
              <w:spacing w:line="360" w:lineRule="auto"/>
              <w:rPr>
                <w:rFonts w:ascii="宋体" w:hAnsi="宋体" w:cs="宋体"/>
                <w:color w:val="auto"/>
                <w:sz w:val="22"/>
                <w:highlight w:val="none"/>
              </w:rPr>
            </w:pPr>
          </w:p>
        </w:tc>
        <w:tc>
          <w:tcPr>
            <w:tcW w:w="720" w:type="dxa"/>
            <w:vAlign w:val="center"/>
          </w:tcPr>
          <w:p w14:paraId="1FCF690F">
            <w:pPr>
              <w:tabs>
                <w:tab w:val="left" w:pos="1069"/>
                <w:tab w:val="left" w:pos="2352"/>
              </w:tabs>
              <w:spacing w:line="360" w:lineRule="auto"/>
              <w:rPr>
                <w:rFonts w:ascii="宋体" w:hAnsi="宋体" w:cs="宋体"/>
                <w:color w:val="auto"/>
                <w:sz w:val="22"/>
                <w:highlight w:val="none"/>
              </w:rPr>
            </w:pPr>
          </w:p>
        </w:tc>
        <w:tc>
          <w:tcPr>
            <w:tcW w:w="720" w:type="dxa"/>
            <w:vAlign w:val="center"/>
          </w:tcPr>
          <w:p w14:paraId="3257EC11">
            <w:pPr>
              <w:tabs>
                <w:tab w:val="left" w:pos="1069"/>
                <w:tab w:val="left" w:pos="2352"/>
              </w:tabs>
              <w:spacing w:line="360" w:lineRule="auto"/>
              <w:rPr>
                <w:rFonts w:ascii="宋体" w:hAnsi="宋体" w:cs="宋体"/>
                <w:color w:val="auto"/>
                <w:sz w:val="22"/>
                <w:highlight w:val="none"/>
              </w:rPr>
            </w:pPr>
          </w:p>
        </w:tc>
        <w:tc>
          <w:tcPr>
            <w:tcW w:w="1080" w:type="dxa"/>
            <w:vAlign w:val="center"/>
          </w:tcPr>
          <w:p w14:paraId="5865A410">
            <w:pPr>
              <w:tabs>
                <w:tab w:val="left" w:pos="1069"/>
                <w:tab w:val="left" w:pos="2352"/>
              </w:tabs>
              <w:spacing w:line="360" w:lineRule="auto"/>
              <w:rPr>
                <w:rFonts w:ascii="宋体" w:hAnsi="宋体" w:cs="宋体"/>
                <w:color w:val="auto"/>
                <w:sz w:val="22"/>
                <w:highlight w:val="none"/>
              </w:rPr>
            </w:pPr>
          </w:p>
        </w:tc>
        <w:tc>
          <w:tcPr>
            <w:tcW w:w="1458" w:type="dxa"/>
            <w:vAlign w:val="center"/>
          </w:tcPr>
          <w:p w14:paraId="093D93E8">
            <w:pPr>
              <w:tabs>
                <w:tab w:val="left" w:pos="1069"/>
                <w:tab w:val="left" w:pos="2352"/>
              </w:tabs>
              <w:spacing w:line="360" w:lineRule="auto"/>
              <w:rPr>
                <w:rFonts w:ascii="宋体" w:hAnsi="宋体" w:cs="宋体"/>
                <w:color w:val="auto"/>
                <w:sz w:val="22"/>
                <w:highlight w:val="none"/>
              </w:rPr>
            </w:pPr>
          </w:p>
        </w:tc>
        <w:tc>
          <w:tcPr>
            <w:tcW w:w="1560" w:type="dxa"/>
            <w:vAlign w:val="center"/>
          </w:tcPr>
          <w:p w14:paraId="4928EDC1">
            <w:pPr>
              <w:tabs>
                <w:tab w:val="left" w:pos="1069"/>
                <w:tab w:val="left" w:pos="2352"/>
              </w:tabs>
              <w:spacing w:line="360" w:lineRule="auto"/>
              <w:rPr>
                <w:rFonts w:ascii="宋体" w:hAnsi="宋体" w:cs="宋体"/>
                <w:color w:val="auto"/>
                <w:sz w:val="22"/>
                <w:highlight w:val="none"/>
              </w:rPr>
            </w:pPr>
          </w:p>
        </w:tc>
      </w:tr>
      <w:tr w14:paraId="74BF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D0C18C2">
            <w:pPr>
              <w:tabs>
                <w:tab w:val="left" w:pos="1069"/>
                <w:tab w:val="left" w:pos="2352"/>
              </w:tabs>
              <w:spacing w:line="360" w:lineRule="auto"/>
              <w:rPr>
                <w:rFonts w:ascii="宋体" w:hAnsi="宋体" w:cs="宋体"/>
                <w:color w:val="auto"/>
                <w:sz w:val="22"/>
                <w:highlight w:val="none"/>
              </w:rPr>
            </w:pPr>
          </w:p>
        </w:tc>
        <w:tc>
          <w:tcPr>
            <w:tcW w:w="2520" w:type="dxa"/>
            <w:vAlign w:val="center"/>
          </w:tcPr>
          <w:p w14:paraId="613A8887">
            <w:pPr>
              <w:tabs>
                <w:tab w:val="left" w:pos="1069"/>
                <w:tab w:val="left" w:pos="2352"/>
              </w:tabs>
              <w:spacing w:line="360" w:lineRule="auto"/>
              <w:rPr>
                <w:rFonts w:ascii="宋体" w:hAnsi="宋体" w:cs="宋体"/>
                <w:color w:val="auto"/>
                <w:sz w:val="22"/>
                <w:highlight w:val="none"/>
              </w:rPr>
            </w:pPr>
          </w:p>
        </w:tc>
        <w:tc>
          <w:tcPr>
            <w:tcW w:w="720" w:type="dxa"/>
            <w:vAlign w:val="center"/>
          </w:tcPr>
          <w:p w14:paraId="4B47E64D">
            <w:pPr>
              <w:tabs>
                <w:tab w:val="left" w:pos="1069"/>
                <w:tab w:val="left" w:pos="2352"/>
              </w:tabs>
              <w:spacing w:line="360" w:lineRule="auto"/>
              <w:rPr>
                <w:rFonts w:ascii="宋体" w:hAnsi="宋体" w:cs="宋体"/>
                <w:color w:val="auto"/>
                <w:sz w:val="22"/>
                <w:highlight w:val="none"/>
              </w:rPr>
            </w:pPr>
          </w:p>
        </w:tc>
        <w:tc>
          <w:tcPr>
            <w:tcW w:w="720" w:type="dxa"/>
            <w:vAlign w:val="center"/>
          </w:tcPr>
          <w:p w14:paraId="30E1A94A">
            <w:pPr>
              <w:tabs>
                <w:tab w:val="left" w:pos="1069"/>
                <w:tab w:val="left" w:pos="2352"/>
              </w:tabs>
              <w:spacing w:line="360" w:lineRule="auto"/>
              <w:rPr>
                <w:rFonts w:ascii="宋体" w:hAnsi="宋体" w:cs="宋体"/>
                <w:color w:val="auto"/>
                <w:sz w:val="22"/>
                <w:highlight w:val="none"/>
              </w:rPr>
            </w:pPr>
          </w:p>
        </w:tc>
        <w:tc>
          <w:tcPr>
            <w:tcW w:w="720" w:type="dxa"/>
            <w:vAlign w:val="center"/>
          </w:tcPr>
          <w:p w14:paraId="5B7513F3">
            <w:pPr>
              <w:tabs>
                <w:tab w:val="left" w:pos="1069"/>
                <w:tab w:val="left" w:pos="2352"/>
              </w:tabs>
              <w:spacing w:line="360" w:lineRule="auto"/>
              <w:rPr>
                <w:rFonts w:ascii="宋体" w:hAnsi="宋体" w:cs="宋体"/>
                <w:color w:val="auto"/>
                <w:sz w:val="22"/>
                <w:highlight w:val="none"/>
              </w:rPr>
            </w:pPr>
          </w:p>
        </w:tc>
        <w:tc>
          <w:tcPr>
            <w:tcW w:w="1080" w:type="dxa"/>
            <w:vAlign w:val="center"/>
          </w:tcPr>
          <w:p w14:paraId="7492B889">
            <w:pPr>
              <w:tabs>
                <w:tab w:val="left" w:pos="1069"/>
                <w:tab w:val="left" w:pos="2352"/>
              </w:tabs>
              <w:spacing w:line="360" w:lineRule="auto"/>
              <w:rPr>
                <w:rFonts w:ascii="宋体" w:hAnsi="宋体" w:cs="宋体"/>
                <w:color w:val="auto"/>
                <w:sz w:val="22"/>
                <w:highlight w:val="none"/>
              </w:rPr>
            </w:pPr>
          </w:p>
        </w:tc>
        <w:tc>
          <w:tcPr>
            <w:tcW w:w="1458" w:type="dxa"/>
            <w:vAlign w:val="center"/>
          </w:tcPr>
          <w:p w14:paraId="7D6EEA19">
            <w:pPr>
              <w:tabs>
                <w:tab w:val="left" w:pos="1069"/>
                <w:tab w:val="left" w:pos="2352"/>
              </w:tabs>
              <w:spacing w:line="360" w:lineRule="auto"/>
              <w:rPr>
                <w:rFonts w:ascii="宋体" w:hAnsi="宋体" w:cs="宋体"/>
                <w:color w:val="auto"/>
                <w:sz w:val="22"/>
                <w:highlight w:val="none"/>
              </w:rPr>
            </w:pPr>
          </w:p>
        </w:tc>
        <w:tc>
          <w:tcPr>
            <w:tcW w:w="1560" w:type="dxa"/>
            <w:vAlign w:val="center"/>
          </w:tcPr>
          <w:p w14:paraId="77C07CA9">
            <w:pPr>
              <w:tabs>
                <w:tab w:val="left" w:pos="1069"/>
                <w:tab w:val="left" w:pos="2352"/>
              </w:tabs>
              <w:spacing w:line="360" w:lineRule="auto"/>
              <w:rPr>
                <w:rFonts w:ascii="宋体" w:hAnsi="宋体" w:cs="宋体"/>
                <w:color w:val="auto"/>
                <w:sz w:val="22"/>
                <w:highlight w:val="none"/>
              </w:rPr>
            </w:pPr>
          </w:p>
        </w:tc>
      </w:tr>
      <w:tr w14:paraId="0F27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3EFAE14">
            <w:pPr>
              <w:tabs>
                <w:tab w:val="left" w:pos="1069"/>
                <w:tab w:val="left" w:pos="2352"/>
              </w:tabs>
              <w:spacing w:line="360" w:lineRule="auto"/>
              <w:rPr>
                <w:rFonts w:ascii="宋体" w:hAnsi="宋体" w:cs="宋体"/>
                <w:color w:val="auto"/>
                <w:sz w:val="22"/>
                <w:highlight w:val="none"/>
              </w:rPr>
            </w:pPr>
          </w:p>
        </w:tc>
        <w:tc>
          <w:tcPr>
            <w:tcW w:w="2520" w:type="dxa"/>
            <w:vAlign w:val="center"/>
          </w:tcPr>
          <w:p w14:paraId="6CA6DD9B">
            <w:pPr>
              <w:tabs>
                <w:tab w:val="left" w:pos="1069"/>
                <w:tab w:val="left" w:pos="2352"/>
              </w:tabs>
              <w:spacing w:line="360" w:lineRule="auto"/>
              <w:rPr>
                <w:rFonts w:ascii="宋体" w:hAnsi="宋体" w:cs="宋体"/>
                <w:color w:val="auto"/>
                <w:sz w:val="22"/>
                <w:highlight w:val="none"/>
              </w:rPr>
            </w:pPr>
          </w:p>
        </w:tc>
        <w:tc>
          <w:tcPr>
            <w:tcW w:w="720" w:type="dxa"/>
            <w:vAlign w:val="center"/>
          </w:tcPr>
          <w:p w14:paraId="7982FF1F">
            <w:pPr>
              <w:tabs>
                <w:tab w:val="left" w:pos="1069"/>
                <w:tab w:val="left" w:pos="2352"/>
              </w:tabs>
              <w:spacing w:line="360" w:lineRule="auto"/>
              <w:rPr>
                <w:rFonts w:ascii="宋体" w:hAnsi="宋体" w:cs="宋体"/>
                <w:color w:val="auto"/>
                <w:sz w:val="22"/>
                <w:highlight w:val="none"/>
              </w:rPr>
            </w:pPr>
          </w:p>
        </w:tc>
        <w:tc>
          <w:tcPr>
            <w:tcW w:w="720" w:type="dxa"/>
            <w:vAlign w:val="center"/>
          </w:tcPr>
          <w:p w14:paraId="5ECAA211">
            <w:pPr>
              <w:tabs>
                <w:tab w:val="left" w:pos="1069"/>
                <w:tab w:val="left" w:pos="2352"/>
              </w:tabs>
              <w:spacing w:line="360" w:lineRule="auto"/>
              <w:rPr>
                <w:rFonts w:ascii="宋体" w:hAnsi="宋体" w:cs="宋体"/>
                <w:color w:val="auto"/>
                <w:sz w:val="22"/>
                <w:highlight w:val="none"/>
              </w:rPr>
            </w:pPr>
          </w:p>
        </w:tc>
        <w:tc>
          <w:tcPr>
            <w:tcW w:w="720" w:type="dxa"/>
            <w:vAlign w:val="center"/>
          </w:tcPr>
          <w:p w14:paraId="0BC61427">
            <w:pPr>
              <w:tabs>
                <w:tab w:val="left" w:pos="1069"/>
                <w:tab w:val="left" w:pos="2352"/>
              </w:tabs>
              <w:spacing w:line="360" w:lineRule="auto"/>
              <w:rPr>
                <w:rFonts w:ascii="宋体" w:hAnsi="宋体" w:cs="宋体"/>
                <w:color w:val="auto"/>
                <w:sz w:val="22"/>
                <w:highlight w:val="none"/>
              </w:rPr>
            </w:pPr>
          </w:p>
        </w:tc>
        <w:tc>
          <w:tcPr>
            <w:tcW w:w="1080" w:type="dxa"/>
            <w:vAlign w:val="center"/>
          </w:tcPr>
          <w:p w14:paraId="7B1C2982">
            <w:pPr>
              <w:tabs>
                <w:tab w:val="left" w:pos="1069"/>
                <w:tab w:val="left" w:pos="2352"/>
              </w:tabs>
              <w:spacing w:line="360" w:lineRule="auto"/>
              <w:rPr>
                <w:rFonts w:ascii="宋体" w:hAnsi="宋体" w:cs="宋体"/>
                <w:color w:val="auto"/>
                <w:sz w:val="22"/>
                <w:highlight w:val="none"/>
              </w:rPr>
            </w:pPr>
          </w:p>
        </w:tc>
        <w:tc>
          <w:tcPr>
            <w:tcW w:w="1458" w:type="dxa"/>
            <w:vAlign w:val="center"/>
          </w:tcPr>
          <w:p w14:paraId="3F1686C9">
            <w:pPr>
              <w:tabs>
                <w:tab w:val="left" w:pos="1069"/>
                <w:tab w:val="left" w:pos="2352"/>
              </w:tabs>
              <w:spacing w:line="360" w:lineRule="auto"/>
              <w:rPr>
                <w:rFonts w:ascii="宋体" w:hAnsi="宋体" w:cs="宋体"/>
                <w:color w:val="auto"/>
                <w:sz w:val="22"/>
                <w:highlight w:val="none"/>
              </w:rPr>
            </w:pPr>
          </w:p>
        </w:tc>
        <w:tc>
          <w:tcPr>
            <w:tcW w:w="1560" w:type="dxa"/>
            <w:vAlign w:val="center"/>
          </w:tcPr>
          <w:p w14:paraId="7145D10E">
            <w:pPr>
              <w:tabs>
                <w:tab w:val="left" w:pos="1069"/>
                <w:tab w:val="left" w:pos="2352"/>
              </w:tabs>
              <w:spacing w:line="360" w:lineRule="auto"/>
              <w:rPr>
                <w:rFonts w:ascii="宋体" w:hAnsi="宋体" w:cs="宋体"/>
                <w:color w:val="auto"/>
                <w:sz w:val="22"/>
                <w:highlight w:val="none"/>
              </w:rPr>
            </w:pPr>
          </w:p>
        </w:tc>
      </w:tr>
      <w:tr w14:paraId="20C3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13914122">
            <w:pPr>
              <w:tabs>
                <w:tab w:val="left" w:pos="1069"/>
                <w:tab w:val="left" w:pos="2352"/>
              </w:tabs>
              <w:spacing w:line="360" w:lineRule="auto"/>
              <w:rPr>
                <w:rFonts w:ascii="宋体" w:hAnsi="宋体" w:cs="宋体"/>
                <w:color w:val="auto"/>
                <w:sz w:val="22"/>
                <w:highlight w:val="none"/>
              </w:rPr>
            </w:pPr>
          </w:p>
        </w:tc>
        <w:tc>
          <w:tcPr>
            <w:tcW w:w="2520" w:type="dxa"/>
            <w:vAlign w:val="center"/>
          </w:tcPr>
          <w:p w14:paraId="4C357AE3">
            <w:pPr>
              <w:tabs>
                <w:tab w:val="left" w:pos="1069"/>
                <w:tab w:val="left" w:pos="2352"/>
              </w:tabs>
              <w:spacing w:line="360" w:lineRule="auto"/>
              <w:rPr>
                <w:rFonts w:ascii="宋体" w:hAnsi="宋体" w:cs="宋体"/>
                <w:color w:val="auto"/>
                <w:sz w:val="22"/>
                <w:highlight w:val="none"/>
              </w:rPr>
            </w:pPr>
          </w:p>
        </w:tc>
        <w:tc>
          <w:tcPr>
            <w:tcW w:w="720" w:type="dxa"/>
            <w:vAlign w:val="center"/>
          </w:tcPr>
          <w:p w14:paraId="5D9EC9F1">
            <w:pPr>
              <w:tabs>
                <w:tab w:val="left" w:pos="1069"/>
                <w:tab w:val="left" w:pos="2352"/>
              </w:tabs>
              <w:spacing w:line="360" w:lineRule="auto"/>
              <w:rPr>
                <w:rFonts w:ascii="宋体" w:hAnsi="宋体" w:cs="宋体"/>
                <w:color w:val="auto"/>
                <w:sz w:val="22"/>
                <w:highlight w:val="none"/>
              </w:rPr>
            </w:pPr>
          </w:p>
        </w:tc>
        <w:tc>
          <w:tcPr>
            <w:tcW w:w="720" w:type="dxa"/>
            <w:vAlign w:val="center"/>
          </w:tcPr>
          <w:p w14:paraId="5D6E50BC">
            <w:pPr>
              <w:tabs>
                <w:tab w:val="left" w:pos="1069"/>
                <w:tab w:val="left" w:pos="2352"/>
              </w:tabs>
              <w:spacing w:line="360" w:lineRule="auto"/>
              <w:rPr>
                <w:rFonts w:ascii="宋体" w:hAnsi="宋体" w:cs="宋体"/>
                <w:color w:val="auto"/>
                <w:sz w:val="22"/>
                <w:highlight w:val="none"/>
              </w:rPr>
            </w:pPr>
          </w:p>
        </w:tc>
        <w:tc>
          <w:tcPr>
            <w:tcW w:w="720" w:type="dxa"/>
            <w:vAlign w:val="center"/>
          </w:tcPr>
          <w:p w14:paraId="7AABF470">
            <w:pPr>
              <w:tabs>
                <w:tab w:val="left" w:pos="1069"/>
                <w:tab w:val="left" w:pos="2352"/>
              </w:tabs>
              <w:spacing w:line="360" w:lineRule="auto"/>
              <w:rPr>
                <w:rFonts w:ascii="宋体" w:hAnsi="宋体" w:cs="宋体"/>
                <w:color w:val="auto"/>
                <w:sz w:val="22"/>
                <w:highlight w:val="none"/>
              </w:rPr>
            </w:pPr>
          </w:p>
        </w:tc>
        <w:tc>
          <w:tcPr>
            <w:tcW w:w="1080" w:type="dxa"/>
            <w:vAlign w:val="center"/>
          </w:tcPr>
          <w:p w14:paraId="01A84414">
            <w:pPr>
              <w:tabs>
                <w:tab w:val="left" w:pos="1069"/>
                <w:tab w:val="left" w:pos="2352"/>
              </w:tabs>
              <w:spacing w:line="360" w:lineRule="auto"/>
              <w:rPr>
                <w:rFonts w:ascii="宋体" w:hAnsi="宋体" w:cs="宋体"/>
                <w:color w:val="auto"/>
                <w:sz w:val="22"/>
                <w:highlight w:val="none"/>
              </w:rPr>
            </w:pPr>
          </w:p>
        </w:tc>
        <w:tc>
          <w:tcPr>
            <w:tcW w:w="1458" w:type="dxa"/>
            <w:vAlign w:val="center"/>
          </w:tcPr>
          <w:p w14:paraId="7EE91C33">
            <w:pPr>
              <w:tabs>
                <w:tab w:val="left" w:pos="1069"/>
                <w:tab w:val="left" w:pos="2352"/>
              </w:tabs>
              <w:spacing w:line="360" w:lineRule="auto"/>
              <w:rPr>
                <w:rFonts w:ascii="宋体" w:hAnsi="宋体" w:cs="宋体"/>
                <w:color w:val="auto"/>
                <w:sz w:val="22"/>
                <w:highlight w:val="none"/>
              </w:rPr>
            </w:pPr>
          </w:p>
        </w:tc>
        <w:tc>
          <w:tcPr>
            <w:tcW w:w="1560" w:type="dxa"/>
            <w:vAlign w:val="center"/>
          </w:tcPr>
          <w:p w14:paraId="6FC723E8">
            <w:pPr>
              <w:tabs>
                <w:tab w:val="left" w:pos="1069"/>
                <w:tab w:val="left" w:pos="2352"/>
              </w:tabs>
              <w:spacing w:line="360" w:lineRule="auto"/>
              <w:rPr>
                <w:rFonts w:ascii="宋体" w:hAnsi="宋体" w:cs="宋体"/>
                <w:color w:val="auto"/>
                <w:sz w:val="22"/>
                <w:highlight w:val="none"/>
              </w:rPr>
            </w:pPr>
          </w:p>
        </w:tc>
      </w:tr>
      <w:tr w14:paraId="17C6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E16BBA2">
            <w:pPr>
              <w:tabs>
                <w:tab w:val="left" w:pos="1069"/>
                <w:tab w:val="left" w:pos="2352"/>
              </w:tabs>
              <w:spacing w:line="360" w:lineRule="auto"/>
              <w:rPr>
                <w:rFonts w:ascii="宋体" w:hAnsi="宋体" w:cs="宋体"/>
                <w:color w:val="auto"/>
                <w:sz w:val="22"/>
                <w:highlight w:val="none"/>
              </w:rPr>
            </w:pPr>
          </w:p>
        </w:tc>
        <w:tc>
          <w:tcPr>
            <w:tcW w:w="2520" w:type="dxa"/>
            <w:vAlign w:val="center"/>
          </w:tcPr>
          <w:p w14:paraId="74E33110">
            <w:pPr>
              <w:tabs>
                <w:tab w:val="left" w:pos="1069"/>
                <w:tab w:val="left" w:pos="2352"/>
              </w:tabs>
              <w:spacing w:line="360" w:lineRule="auto"/>
              <w:rPr>
                <w:rFonts w:ascii="宋体" w:hAnsi="宋体" w:cs="宋体"/>
                <w:color w:val="auto"/>
                <w:sz w:val="22"/>
                <w:highlight w:val="none"/>
              </w:rPr>
            </w:pPr>
          </w:p>
        </w:tc>
        <w:tc>
          <w:tcPr>
            <w:tcW w:w="720" w:type="dxa"/>
            <w:vAlign w:val="center"/>
          </w:tcPr>
          <w:p w14:paraId="4F79C6FA">
            <w:pPr>
              <w:tabs>
                <w:tab w:val="left" w:pos="1069"/>
                <w:tab w:val="left" w:pos="2352"/>
              </w:tabs>
              <w:spacing w:line="360" w:lineRule="auto"/>
              <w:rPr>
                <w:rFonts w:ascii="宋体" w:hAnsi="宋体" w:cs="宋体"/>
                <w:color w:val="auto"/>
                <w:sz w:val="22"/>
                <w:highlight w:val="none"/>
              </w:rPr>
            </w:pPr>
          </w:p>
        </w:tc>
        <w:tc>
          <w:tcPr>
            <w:tcW w:w="720" w:type="dxa"/>
            <w:vAlign w:val="center"/>
          </w:tcPr>
          <w:p w14:paraId="37635EFC">
            <w:pPr>
              <w:tabs>
                <w:tab w:val="left" w:pos="1069"/>
                <w:tab w:val="left" w:pos="2352"/>
              </w:tabs>
              <w:spacing w:line="360" w:lineRule="auto"/>
              <w:rPr>
                <w:rFonts w:ascii="宋体" w:hAnsi="宋体" w:cs="宋体"/>
                <w:color w:val="auto"/>
                <w:sz w:val="22"/>
                <w:highlight w:val="none"/>
              </w:rPr>
            </w:pPr>
          </w:p>
        </w:tc>
        <w:tc>
          <w:tcPr>
            <w:tcW w:w="720" w:type="dxa"/>
            <w:vAlign w:val="center"/>
          </w:tcPr>
          <w:p w14:paraId="0BCF3677">
            <w:pPr>
              <w:tabs>
                <w:tab w:val="left" w:pos="1069"/>
                <w:tab w:val="left" w:pos="2352"/>
              </w:tabs>
              <w:spacing w:line="360" w:lineRule="auto"/>
              <w:rPr>
                <w:rFonts w:ascii="宋体" w:hAnsi="宋体" w:cs="宋体"/>
                <w:color w:val="auto"/>
                <w:sz w:val="22"/>
                <w:highlight w:val="none"/>
              </w:rPr>
            </w:pPr>
          </w:p>
        </w:tc>
        <w:tc>
          <w:tcPr>
            <w:tcW w:w="1080" w:type="dxa"/>
            <w:vAlign w:val="center"/>
          </w:tcPr>
          <w:p w14:paraId="1AA2A23E">
            <w:pPr>
              <w:tabs>
                <w:tab w:val="left" w:pos="1069"/>
                <w:tab w:val="left" w:pos="2352"/>
              </w:tabs>
              <w:spacing w:line="360" w:lineRule="auto"/>
              <w:rPr>
                <w:rFonts w:ascii="宋体" w:hAnsi="宋体" w:cs="宋体"/>
                <w:color w:val="auto"/>
                <w:sz w:val="22"/>
                <w:highlight w:val="none"/>
              </w:rPr>
            </w:pPr>
          </w:p>
        </w:tc>
        <w:tc>
          <w:tcPr>
            <w:tcW w:w="1458" w:type="dxa"/>
            <w:vAlign w:val="center"/>
          </w:tcPr>
          <w:p w14:paraId="478D9F6F">
            <w:pPr>
              <w:tabs>
                <w:tab w:val="left" w:pos="1069"/>
                <w:tab w:val="left" w:pos="2352"/>
              </w:tabs>
              <w:spacing w:line="360" w:lineRule="auto"/>
              <w:rPr>
                <w:rFonts w:ascii="宋体" w:hAnsi="宋体" w:cs="宋体"/>
                <w:color w:val="auto"/>
                <w:sz w:val="22"/>
                <w:highlight w:val="none"/>
              </w:rPr>
            </w:pPr>
          </w:p>
        </w:tc>
        <w:tc>
          <w:tcPr>
            <w:tcW w:w="1560" w:type="dxa"/>
            <w:vAlign w:val="center"/>
          </w:tcPr>
          <w:p w14:paraId="5F4A4E80">
            <w:pPr>
              <w:tabs>
                <w:tab w:val="left" w:pos="1069"/>
                <w:tab w:val="left" w:pos="2352"/>
              </w:tabs>
              <w:spacing w:line="360" w:lineRule="auto"/>
              <w:rPr>
                <w:rFonts w:ascii="宋体" w:hAnsi="宋体" w:cs="宋体"/>
                <w:color w:val="auto"/>
                <w:sz w:val="22"/>
                <w:highlight w:val="none"/>
              </w:rPr>
            </w:pPr>
          </w:p>
        </w:tc>
      </w:tr>
      <w:tr w14:paraId="60DA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CE86EA9">
            <w:pPr>
              <w:tabs>
                <w:tab w:val="left" w:pos="1069"/>
                <w:tab w:val="left" w:pos="2352"/>
              </w:tabs>
              <w:spacing w:line="360" w:lineRule="auto"/>
              <w:rPr>
                <w:rFonts w:ascii="宋体" w:hAnsi="宋体" w:cs="宋体"/>
                <w:color w:val="auto"/>
                <w:sz w:val="22"/>
                <w:highlight w:val="none"/>
              </w:rPr>
            </w:pPr>
          </w:p>
        </w:tc>
        <w:tc>
          <w:tcPr>
            <w:tcW w:w="2520" w:type="dxa"/>
            <w:vAlign w:val="center"/>
          </w:tcPr>
          <w:p w14:paraId="15EFE4F7">
            <w:pPr>
              <w:tabs>
                <w:tab w:val="left" w:pos="1069"/>
                <w:tab w:val="left" w:pos="2352"/>
              </w:tabs>
              <w:spacing w:line="360" w:lineRule="auto"/>
              <w:rPr>
                <w:rFonts w:ascii="宋体" w:hAnsi="宋体" w:cs="宋体"/>
                <w:color w:val="auto"/>
                <w:sz w:val="22"/>
                <w:highlight w:val="none"/>
              </w:rPr>
            </w:pPr>
          </w:p>
        </w:tc>
        <w:tc>
          <w:tcPr>
            <w:tcW w:w="720" w:type="dxa"/>
            <w:vAlign w:val="center"/>
          </w:tcPr>
          <w:p w14:paraId="675E65D5">
            <w:pPr>
              <w:tabs>
                <w:tab w:val="left" w:pos="1069"/>
                <w:tab w:val="left" w:pos="2352"/>
              </w:tabs>
              <w:spacing w:line="360" w:lineRule="auto"/>
              <w:rPr>
                <w:rFonts w:ascii="宋体" w:hAnsi="宋体" w:cs="宋体"/>
                <w:color w:val="auto"/>
                <w:sz w:val="22"/>
                <w:highlight w:val="none"/>
              </w:rPr>
            </w:pPr>
          </w:p>
        </w:tc>
        <w:tc>
          <w:tcPr>
            <w:tcW w:w="720" w:type="dxa"/>
            <w:vAlign w:val="center"/>
          </w:tcPr>
          <w:p w14:paraId="06E861AB">
            <w:pPr>
              <w:tabs>
                <w:tab w:val="left" w:pos="1069"/>
                <w:tab w:val="left" w:pos="2352"/>
              </w:tabs>
              <w:spacing w:line="360" w:lineRule="auto"/>
              <w:rPr>
                <w:rFonts w:ascii="宋体" w:hAnsi="宋体" w:cs="宋体"/>
                <w:color w:val="auto"/>
                <w:sz w:val="22"/>
                <w:highlight w:val="none"/>
              </w:rPr>
            </w:pPr>
          </w:p>
        </w:tc>
        <w:tc>
          <w:tcPr>
            <w:tcW w:w="720" w:type="dxa"/>
            <w:vAlign w:val="center"/>
          </w:tcPr>
          <w:p w14:paraId="2ADBF5E0">
            <w:pPr>
              <w:tabs>
                <w:tab w:val="left" w:pos="1069"/>
                <w:tab w:val="left" w:pos="2352"/>
              </w:tabs>
              <w:spacing w:line="360" w:lineRule="auto"/>
              <w:rPr>
                <w:rFonts w:ascii="宋体" w:hAnsi="宋体" w:cs="宋体"/>
                <w:color w:val="auto"/>
                <w:sz w:val="22"/>
                <w:highlight w:val="none"/>
              </w:rPr>
            </w:pPr>
          </w:p>
        </w:tc>
        <w:tc>
          <w:tcPr>
            <w:tcW w:w="1080" w:type="dxa"/>
            <w:vAlign w:val="center"/>
          </w:tcPr>
          <w:p w14:paraId="550FD73C">
            <w:pPr>
              <w:tabs>
                <w:tab w:val="left" w:pos="1069"/>
                <w:tab w:val="left" w:pos="2352"/>
              </w:tabs>
              <w:spacing w:line="360" w:lineRule="auto"/>
              <w:rPr>
                <w:rFonts w:ascii="宋体" w:hAnsi="宋体" w:cs="宋体"/>
                <w:color w:val="auto"/>
                <w:sz w:val="22"/>
                <w:highlight w:val="none"/>
              </w:rPr>
            </w:pPr>
          </w:p>
        </w:tc>
        <w:tc>
          <w:tcPr>
            <w:tcW w:w="1458" w:type="dxa"/>
            <w:vAlign w:val="center"/>
          </w:tcPr>
          <w:p w14:paraId="4C28134F">
            <w:pPr>
              <w:tabs>
                <w:tab w:val="left" w:pos="1069"/>
                <w:tab w:val="left" w:pos="2352"/>
              </w:tabs>
              <w:spacing w:line="360" w:lineRule="auto"/>
              <w:rPr>
                <w:rFonts w:ascii="宋体" w:hAnsi="宋体" w:cs="宋体"/>
                <w:color w:val="auto"/>
                <w:sz w:val="22"/>
                <w:highlight w:val="none"/>
              </w:rPr>
            </w:pPr>
          </w:p>
        </w:tc>
        <w:tc>
          <w:tcPr>
            <w:tcW w:w="1560" w:type="dxa"/>
            <w:vAlign w:val="center"/>
          </w:tcPr>
          <w:p w14:paraId="722E26C2">
            <w:pPr>
              <w:tabs>
                <w:tab w:val="left" w:pos="1069"/>
                <w:tab w:val="left" w:pos="2352"/>
              </w:tabs>
              <w:spacing w:line="360" w:lineRule="auto"/>
              <w:rPr>
                <w:rFonts w:ascii="宋体" w:hAnsi="宋体" w:cs="宋体"/>
                <w:color w:val="auto"/>
                <w:sz w:val="22"/>
                <w:highlight w:val="none"/>
              </w:rPr>
            </w:pPr>
          </w:p>
        </w:tc>
      </w:tr>
      <w:tr w14:paraId="1D7C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6D6D443">
            <w:pPr>
              <w:tabs>
                <w:tab w:val="left" w:pos="1069"/>
                <w:tab w:val="left" w:pos="2352"/>
              </w:tabs>
              <w:spacing w:line="360" w:lineRule="auto"/>
              <w:rPr>
                <w:rFonts w:ascii="宋体" w:hAnsi="宋体" w:cs="宋体"/>
                <w:color w:val="auto"/>
                <w:sz w:val="22"/>
                <w:highlight w:val="none"/>
              </w:rPr>
            </w:pPr>
          </w:p>
        </w:tc>
        <w:tc>
          <w:tcPr>
            <w:tcW w:w="2520" w:type="dxa"/>
            <w:vAlign w:val="center"/>
          </w:tcPr>
          <w:p w14:paraId="422D368C">
            <w:pPr>
              <w:tabs>
                <w:tab w:val="left" w:pos="1069"/>
                <w:tab w:val="left" w:pos="2352"/>
              </w:tabs>
              <w:spacing w:line="360" w:lineRule="auto"/>
              <w:rPr>
                <w:rFonts w:ascii="宋体" w:hAnsi="宋体" w:cs="宋体"/>
                <w:color w:val="auto"/>
                <w:sz w:val="22"/>
                <w:highlight w:val="none"/>
              </w:rPr>
            </w:pPr>
          </w:p>
        </w:tc>
        <w:tc>
          <w:tcPr>
            <w:tcW w:w="720" w:type="dxa"/>
            <w:vAlign w:val="center"/>
          </w:tcPr>
          <w:p w14:paraId="0D39EB4D">
            <w:pPr>
              <w:tabs>
                <w:tab w:val="left" w:pos="1069"/>
                <w:tab w:val="left" w:pos="2352"/>
              </w:tabs>
              <w:spacing w:line="360" w:lineRule="auto"/>
              <w:rPr>
                <w:rFonts w:ascii="宋体" w:hAnsi="宋体" w:cs="宋体"/>
                <w:color w:val="auto"/>
                <w:sz w:val="22"/>
                <w:highlight w:val="none"/>
              </w:rPr>
            </w:pPr>
          </w:p>
        </w:tc>
        <w:tc>
          <w:tcPr>
            <w:tcW w:w="720" w:type="dxa"/>
            <w:vAlign w:val="center"/>
          </w:tcPr>
          <w:p w14:paraId="5B418DFF">
            <w:pPr>
              <w:tabs>
                <w:tab w:val="left" w:pos="1069"/>
                <w:tab w:val="left" w:pos="2352"/>
              </w:tabs>
              <w:spacing w:line="360" w:lineRule="auto"/>
              <w:rPr>
                <w:rFonts w:ascii="宋体" w:hAnsi="宋体" w:cs="宋体"/>
                <w:color w:val="auto"/>
                <w:sz w:val="22"/>
                <w:highlight w:val="none"/>
              </w:rPr>
            </w:pPr>
          </w:p>
        </w:tc>
        <w:tc>
          <w:tcPr>
            <w:tcW w:w="720" w:type="dxa"/>
            <w:vAlign w:val="center"/>
          </w:tcPr>
          <w:p w14:paraId="1521E374">
            <w:pPr>
              <w:tabs>
                <w:tab w:val="left" w:pos="1069"/>
                <w:tab w:val="left" w:pos="2352"/>
              </w:tabs>
              <w:spacing w:line="360" w:lineRule="auto"/>
              <w:rPr>
                <w:rFonts w:ascii="宋体" w:hAnsi="宋体" w:cs="宋体"/>
                <w:color w:val="auto"/>
                <w:sz w:val="22"/>
                <w:highlight w:val="none"/>
              </w:rPr>
            </w:pPr>
          </w:p>
        </w:tc>
        <w:tc>
          <w:tcPr>
            <w:tcW w:w="1080" w:type="dxa"/>
            <w:vAlign w:val="center"/>
          </w:tcPr>
          <w:p w14:paraId="6410C39E">
            <w:pPr>
              <w:tabs>
                <w:tab w:val="left" w:pos="1069"/>
                <w:tab w:val="left" w:pos="2352"/>
              </w:tabs>
              <w:spacing w:line="360" w:lineRule="auto"/>
              <w:rPr>
                <w:rFonts w:ascii="宋体" w:hAnsi="宋体" w:cs="宋体"/>
                <w:color w:val="auto"/>
                <w:sz w:val="22"/>
                <w:highlight w:val="none"/>
              </w:rPr>
            </w:pPr>
          </w:p>
        </w:tc>
        <w:tc>
          <w:tcPr>
            <w:tcW w:w="1458" w:type="dxa"/>
            <w:vAlign w:val="center"/>
          </w:tcPr>
          <w:p w14:paraId="0E7FB9B6">
            <w:pPr>
              <w:tabs>
                <w:tab w:val="left" w:pos="1069"/>
                <w:tab w:val="left" w:pos="2352"/>
              </w:tabs>
              <w:spacing w:line="360" w:lineRule="auto"/>
              <w:rPr>
                <w:rFonts w:ascii="宋体" w:hAnsi="宋体" w:cs="宋体"/>
                <w:color w:val="auto"/>
                <w:sz w:val="22"/>
                <w:highlight w:val="none"/>
              </w:rPr>
            </w:pPr>
          </w:p>
        </w:tc>
        <w:tc>
          <w:tcPr>
            <w:tcW w:w="1560" w:type="dxa"/>
            <w:vAlign w:val="center"/>
          </w:tcPr>
          <w:p w14:paraId="0FC452C2">
            <w:pPr>
              <w:tabs>
                <w:tab w:val="left" w:pos="1069"/>
                <w:tab w:val="left" w:pos="2352"/>
              </w:tabs>
              <w:spacing w:line="360" w:lineRule="auto"/>
              <w:rPr>
                <w:rFonts w:ascii="宋体" w:hAnsi="宋体" w:cs="宋体"/>
                <w:color w:val="auto"/>
                <w:sz w:val="22"/>
                <w:highlight w:val="none"/>
              </w:rPr>
            </w:pPr>
          </w:p>
        </w:tc>
      </w:tr>
      <w:tr w14:paraId="5FC9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D24B04">
            <w:pPr>
              <w:tabs>
                <w:tab w:val="left" w:pos="1069"/>
                <w:tab w:val="left" w:pos="2352"/>
              </w:tabs>
              <w:spacing w:line="360" w:lineRule="auto"/>
              <w:rPr>
                <w:rFonts w:ascii="宋体" w:hAnsi="宋体" w:cs="宋体"/>
                <w:color w:val="auto"/>
                <w:sz w:val="22"/>
                <w:highlight w:val="none"/>
              </w:rPr>
            </w:pPr>
          </w:p>
        </w:tc>
        <w:tc>
          <w:tcPr>
            <w:tcW w:w="2520" w:type="dxa"/>
            <w:vAlign w:val="center"/>
          </w:tcPr>
          <w:p w14:paraId="4ABE6275">
            <w:pPr>
              <w:tabs>
                <w:tab w:val="left" w:pos="1069"/>
                <w:tab w:val="left" w:pos="2352"/>
              </w:tabs>
              <w:spacing w:line="360" w:lineRule="auto"/>
              <w:rPr>
                <w:rFonts w:ascii="宋体" w:hAnsi="宋体" w:cs="宋体"/>
                <w:color w:val="auto"/>
                <w:sz w:val="22"/>
                <w:highlight w:val="none"/>
              </w:rPr>
            </w:pPr>
          </w:p>
        </w:tc>
        <w:tc>
          <w:tcPr>
            <w:tcW w:w="720" w:type="dxa"/>
            <w:vAlign w:val="center"/>
          </w:tcPr>
          <w:p w14:paraId="7155D062">
            <w:pPr>
              <w:tabs>
                <w:tab w:val="left" w:pos="1069"/>
                <w:tab w:val="left" w:pos="2352"/>
              </w:tabs>
              <w:spacing w:line="360" w:lineRule="auto"/>
              <w:rPr>
                <w:rFonts w:ascii="宋体" w:hAnsi="宋体" w:cs="宋体"/>
                <w:color w:val="auto"/>
                <w:sz w:val="22"/>
                <w:highlight w:val="none"/>
              </w:rPr>
            </w:pPr>
          </w:p>
        </w:tc>
        <w:tc>
          <w:tcPr>
            <w:tcW w:w="720" w:type="dxa"/>
            <w:vAlign w:val="center"/>
          </w:tcPr>
          <w:p w14:paraId="67BAFF60">
            <w:pPr>
              <w:tabs>
                <w:tab w:val="left" w:pos="1069"/>
                <w:tab w:val="left" w:pos="2352"/>
              </w:tabs>
              <w:spacing w:line="360" w:lineRule="auto"/>
              <w:rPr>
                <w:rFonts w:ascii="宋体" w:hAnsi="宋体" w:cs="宋体"/>
                <w:color w:val="auto"/>
                <w:sz w:val="22"/>
                <w:highlight w:val="none"/>
              </w:rPr>
            </w:pPr>
          </w:p>
        </w:tc>
        <w:tc>
          <w:tcPr>
            <w:tcW w:w="720" w:type="dxa"/>
            <w:vAlign w:val="center"/>
          </w:tcPr>
          <w:p w14:paraId="0CFA7078">
            <w:pPr>
              <w:tabs>
                <w:tab w:val="left" w:pos="1069"/>
                <w:tab w:val="left" w:pos="2352"/>
              </w:tabs>
              <w:spacing w:line="360" w:lineRule="auto"/>
              <w:rPr>
                <w:rFonts w:ascii="宋体" w:hAnsi="宋体" w:cs="宋体"/>
                <w:color w:val="auto"/>
                <w:sz w:val="22"/>
                <w:highlight w:val="none"/>
              </w:rPr>
            </w:pPr>
          </w:p>
        </w:tc>
        <w:tc>
          <w:tcPr>
            <w:tcW w:w="1080" w:type="dxa"/>
            <w:vAlign w:val="center"/>
          </w:tcPr>
          <w:p w14:paraId="2C50E425">
            <w:pPr>
              <w:tabs>
                <w:tab w:val="left" w:pos="1069"/>
                <w:tab w:val="left" w:pos="2352"/>
              </w:tabs>
              <w:spacing w:line="360" w:lineRule="auto"/>
              <w:rPr>
                <w:rFonts w:ascii="宋体" w:hAnsi="宋体" w:cs="宋体"/>
                <w:color w:val="auto"/>
                <w:sz w:val="22"/>
                <w:highlight w:val="none"/>
              </w:rPr>
            </w:pPr>
          </w:p>
        </w:tc>
        <w:tc>
          <w:tcPr>
            <w:tcW w:w="1458" w:type="dxa"/>
            <w:vAlign w:val="center"/>
          </w:tcPr>
          <w:p w14:paraId="39725770">
            <w:pPr>
              <w:tabs>
                <w:tab w:val="left" w:pos="1069"/>
                <w:tab w:val="left" w:pos="2352"/>
              </w:tabs>
              <w:spacing w:line="360" w:lineRule="auto"/>
              <w:rPr>
                <w:rFonts w:ascii="宋体" w:hAnsi="宋体" w:cs="宋体"/>
                <w:color w:val="auto"/>
                <w:sz w:val="22"/>
                <w:highlight w:val="none"/>
              </w:rPr>
            </w:pPr>
          </w:p>
        </w:tc>
        <w:tc>
          <w:tcPr>
            <w:tcW w:w="1560" w:type="dxa"/>
            <w:vAlign w:val="center"/>
          </w:tcPr>
          <w:p w14:paraId="1C3DEDCF">
            <w:pPr>
              <w:tabs>
                <w:tab w:val="left" w:pos="1069"/>
                <w:tab w:val="left" w:pos="2352"/>
              </w:tabs>
              <w:spacing w:line="360" w:lineRule="auto"/>
              <w:rPr>
                <w:rFonts w:ascii="宋体" w:hAnsi="宋体" w:cs="宋体"/>
                <w:color w:val="auto"/>
                <w:sz w:val="22"/>
                <w:highlight w:val="none"/>
              </w:rPr>
            </w:pPr>
          </w:p>
        </w:tc>
      </w:tr>
      <w:tr w14:paraId="0EAD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3DF96A2">
            <w:pPr>
              <w:tabs>
                <w:tab w:val="left" w:pos="1069"/>
                <w:tab w:val="left" w:pos="2352"/>
              </w:tabs>
              <w:spacing w:line="360" w:lineRule="auto"/>
              <w:rPr>
                <w:rFonts w:ascii="宋体" w:hAnsi="宋体" w:cs="宋体"/>
                <w:color w:val="auto"/>
                <w:sz w:val="22"/>
                <w:highlight w:val="none"/>
              </w:rPr>
            </w:pPr>
          </w:p>
        </w:tc>
        <w:tc>
          <w:tcPr>
            <w:tcW w:w="2520" w:type="dxa"/>
            <w:vAlign w:val="center"/>
          </w:tcPr>
          <w:p w14:paraId="41430223">
            <w:pPr>
              <w:tabs>
                <w:tab w:val="left" w:pos="1069"/>
                <w:tab w:val="left" w:pos="2352"/>
              </w:tabs>
              <w:spacing w:line="360" w:lineRule="auto"/>
              <w:rPr>
                <w:rFonts w:ascii="宋体" w:hAnsi="宋体" w:cs="宋体"/>
                <w:color w:val="auto"/>
                <w:sz w:val="22"/>
                <w:highlight w:val="none"/>
              </w:rPr>
            </w:pPr>
          </w:p>
        </w:tc>
        <w:tc>
          <w:tcPr>
            <w:tcW w:w="720" w:type="dxa"/>
            <w:vAlign w:val="center"/>
          </w:tcPr>
          <w:p w14:paraId="5BC01D89">
            <w:pPr>
              <w:tabs>
                <w:tab w:val="left" w:pos="1069"/>
                <w:tab w:val="left" w:pos="2352"/>
              </w:tabs>
              <w:spacing w:line="360" w:lineRule="auto"/>
              <w:rPr>
                <w:rFonts w:ascii="宋体" w:hAnsi="宋体" w:cs="宋体"/>
                <w:color w:val="auto"/>
                <w:sz w:val="22"/>
                <w:highlight w:val="none"/>
              </w:rPr>
            </w:pPr>
          </w:p>
        </w:tc>
        <w:tc>
          <w:tcPr>
            <w:tcW w:w="720" w:type="dxa"/>
            <w:vAlign w:val="center"/>
          </w:tcPr>
          <w:p w14:paraId="15E1FE08">
            <w:pPr>
              <w:tabs>
                <w:tab w:val="left" w:pos="1069"/>
                <w:tab w:val="left" w:pos="2352"/>
              </w:tabs>
              <w:spacing w:line="360" w:lineRule="auto"/>
              <w:rPr>
                <w:rFonts w:ascii="宋体" w:hAnsi="宋体" w:cs="宋体"/>
                <w:color w:val="auto"/>
                <w:sz w:val="22"/>
                <w:highlight w:val="none"/>
              </w:rPr>
            </w:pPr>
          </w:p>
        </w:tc>
        <w:tc>
          <w:tcPr>
            <w:tcW w:w="720" w:type="dxa"/>
            <w:vAlign w:val="center"/>
          </w:tcPr>
          <w:p w14:paraId="322E6083">
            <w:pPr>
              <w:tabs>
                <w:tab w:val="left" w:pos="1069"/>
                <w:tab w:val="left" w:pos="2352"/>
              </w:tabs>
              <w:spacing w:line="360" w:lineRule="auto"/>
              <w:rPr>
                <w:rFonts w:ascii="宋体" w:hAnsi="宋体" w:cs="宋体"/>
                <w:color w:val="auto"/>
                <w:sz w:val="22"/>
                <w:highlight w:val="none"/>
              </w:rPr>
            </w:pPr>
          </w:p>
        </w:tc>
        <w:tc>
          <w:tcPr>
            <w:tcW w:w="1080" w:type="dxa"/>
            <w:vAlign w:val="center"/>
          </w:tcPr>
          <w:p w14:paraId="67614A49">
            <w:pPr>
              <w:tabs>
                <w:tab w:val="left" w:pos="1069"/>
                <w:tab w:val="left" w:pos="2352"/>
              </w:tabs>
              <w:spacing w:line="360" w:lineRule="auto"/>
              <w:rPr>
                <w:rFonts w:ascii="宋体" w:hAnsi="宋体" w:cs="宋体"/>
                <w:color w:val="auto"/>
                <w:sz w:val="22"/>
                <w:highlight w:val="none"/>
              </w:rPr>
            </w:pPr>
          </w:p>
        </w:tc>
        <w:tc>
          <w:tcPr>
            <w:tcW w:w="1458" w:type="dxa"/>
            <w:vAlign w:val="center"/>
          </w:tcPr>
          <w:p w14:paraId="66DCB386">
            <w:pPr>
              <w:tabs>
                <w:tab w:val="left" w:pos="1069"/>
                <w:tab w:val="left" w:pos="2352"/>
              </w:tabs>
              <w:spacing w:line="360" w:lineRule="auto"/>
              <w:rPr>
                <w:rFonts w:ascii="宋体" w:hAnsi="宋体" w:cs="宋体"/>
                <w:color w:val="auto"/>
                <w:sz w:val="22"/>
                <w:highlight w:val="none"/>
              </w:rPr>
            </w:pPr>
          </w:p>
        </w:tc>
        <w:tc>
          <w:tcPr>
            <w:tcW w:w="1560" w:type="dxa"/>
            <w:vAlign w:val="center"/>
          </w:tcPr>
          <w:p w14:paraId="4644BF25">
            <w:pPr>
              <w:tabs>
                <w:tab w:val="left" w:pos="1069"/>
                <w:tab w:val="left" w:pos="2352"/>
              </w:tabs>
              <w:spacing w:line="360" w:lineRule="auto"/>
              <w:rPr>
                <w:rFonts w:ascii="宋体" w:hAnsi="宋体" w:cs="宋体"/>
                <w:color w:val="auto"/>
                <w:sz w:val="22"/>
                <w:highlight w:val="none"/>
              </w:rPr>
            </w:pPr>
          </w:p>
        </w:tc>
      </w:tr>
      <w:tr w14:paraId="35BB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3F49708">
            <w:pPr>
              <w:tabs>
                <w:tab w:val="left" w:pos="1069"/>
                <w:tab w:val="left" w:pos="2352"/>
              </w:tabs>
              <w:spacing w:line="360" w:lineRule="auto"/>
              <w:rPr>
                <w:rFonts w:ascii="宋体" w:hAnsi="宋体" w:cs="宋体"/>
                <w:color w:val="auto"/>
                <w:sz w:val="22"/>
                <w:highlight w:val="none"/>
              </w:rPr>
            </w:pPr>
          </w:p>
        </w:tc>
        <w:tc>
          <w:tcPr>
            <w:tcW w:w="2520" w:type="dxa"/>
            <w:vAlign w:val="center"/>
          </w:tcPr>
          <w:p w14:paraId="5518E957">
            <w:pPr>
              <w:tabs>
                <w:tab w:val="left" w:pos="1069"/>
                <w:tab w:val="left" w:pos="2352"/>
              </w:tabs>
              <w:spacing w:line="360" w:lineRule="auto"/>
              <w:rPr>
                <w:rFonts w:ascii="宋体" w:hAnsi="宋体" w:cs="宋体"/>
                <w:color w:val="auto"/>
                <w:sz w:val="22"/>
                <w:highlight w:val="none"/>
              </w:rPr>
            </w:pPr>
          </w:p>
        </w:tc>
        <w:tc>
          <w:tcPr>
            <w:tcW w:w="720" w:type="dxa"/>
            <w:vAlign w:val="center"/>
          </w:tcPr>
          <w:p w14:paraId="1ABECABA">
            <w:pPr>
              <w:tabs>
                <w:tab w:val="left" w:pos="1069"/>
                <w:tab w:val="left" w:pos="2352"/>
              </w:tabs>
              <w:spacing w:line="360" w:lineRule="auto"/>
              <w:rPr>
                <w:rFonts w:ascii="宋体" w:hAnsi="宋体" w:cs="宋体"/>
                <w:color w:val="auto"/>
                <w:sz w:val="22"/>
                <w:highlight w:val="none"/>
              </w:rPr>
            </w:pPr>
          </w:p>
        </w:tc>
        <w:tc>
          <w:tcPr>
            <w:tcW w:w="720" w:type="dxa"/>
            <w:vAlign w:val="center"/>
          </w:tcPr>
          <w:p w14:paraId="2D94B5A0">
            <w:pPr>
              <w:tabs>
                <w:tab w:val="left" w:pos="1069"/>
                <w:tab w:val="left" w:pos="2352"/>
              </w:tabs>
              <w:spacing w:line="360" w:lineRule="auto"/>
              <w:rPr>
                <w:rFonts w:ascii="宋体" w:hAnsi="宋体" w:cs="宋体"/>
                <w:color w:val="auto"/>
                <w:sz w:val="22"/>
                <w:highlight w:val="none"/>
              </w:rPr>
            </w:pPr>
          </w:p>
        </w:tc>
        <w:tc>
          <w:tcPr>
            <w:tcW w:w="720" w:type="dxa"/>
            <w:vAlign w:val="center"/>
          </w:tcPr>
          <w:p w14:paraId="50BD6328">
            <w:pPr>
              <w:tabs>
                <w:tab w:val="left" w:pos="1069"/>
                <w:tab w:val="left" w:pos="2352"/>
              </w:tabs>
              <w:spacing w:line="360" w:lineRule="auto"/>
              <w:rPr>
                <w:rFonts w:ascii="宋体" w:hAnsi="宋体" w:cs="宋体"/>
                <w:color w:val="auto"/>
                <w:sz w:val="22"/>
                <w:highlight w:val="none"/>
              </w:rPr>
            </w:pPr>
          </w:p>
        </w:tc>
        <w:tc>
          <w:tcPr>
            <w:tcW w:w="1080" w:type="dxa"/>
            <w:vAlign w:val="center"/>
          </w:tcPr>
          <w:p w14:paraId="7CA2DA3C">
            <w:pPr>
              <w:tabs>
                <w:tab w:val="left" w:pos="1069"/>
                <w:tab w:val="left" w:pos="2352"/>
              </w:tabs>
              <w:spacing w:line="360" w:lineRule="auto"/>
              <w:rPr>
                <w:rFonts w:ascii="宋体" w:hAnsi="宋体" w:cs="宋体"/>
                <w:color w:val="auto"/>
                <w:sz w:val="22"/>
                <w:highlight w:val="none"/>
              </w:rPr>
            </w:pPr>
          </w:p>
        </w:tc>
        <w:tc>
          <w:tcPr>
            <w:tcW w:w="1458" w:type="dxa"/>
            <w:vAlign w:val="center"/>
          </w:tcPr>
          <w:p w14:paraId="163DCF78">
            <w:pPr>
              <w:tabs>
                <w:tab w:val="left" w:pos="1069"/>
                <w:tab w:val="left" w:pos="2352"/>
              </w:tabs>
              <w:spacing w:line="360" w:lineRule="auto"/>
              <w:rPr>
                <w:rFonts w:ascii="宋体" w:hAnsi="宋体" w:cs="宋体"/>
                <w:color w:val="auto"/>
                <w:sz w:val="22"/>
                <w:highlight w:val="none"/>
              </w:rPr>
            </w:pPr>
          </w:p>
        </w:tc>
        <w:tc>
          <w:tcPr>
            <w:tcW w:w="1560" w:type="dxa"/>
            <w:vAlign w:val="center"/>
          </w:tcPr>
          <w:p w14:paraId="7276DA87">
            <w:pPr>
              <w:tabs>
                <w:tab w:val="left" w:pos="1069"/>
                <w:tab w:val="left" w:pos="2352"/>
              </w:tabs>
              <w:spacing w:line="360" w:lineRule="auto"/>
              <w:rPr>
                <w:rFonts w:ascii="宋体" w:hAnsi="宋体" w:cs="宋体"/>
                <w:color w:val="auto"/>
                <w:sz w:val="22"/>
                <w:highlight w:val="none"/>
              </w:rPr>
            </w:pPr>
          </w:p>
        </w:tc>
      </w:tr>
    </w:tbl>
    <w:p w14:paraId="5A1CFA8A">
      <w:pPr>
        <w:tabs>
          <w:tab w:val="left" w:pos="1069"/>
          <w:tab w:val="left" w:pos="2352"/>
        </w:tabs>
        <w:spacing w:line="360" w:lineRule="exact"/>
        <w:ind w:left="985" w:hanging="981" w:hangingChars="440"/>
        <w:rPr>
          <w:rFonts w:ascii="宋体" w:hAnsi="宋体" w:cs="宋体"/>
          <w:color w:val="auto"/>
          <w:sz w:val="22"/>
          <w:highlight w:val="none"/>
        </w:rPr>
      </w:pPr>
      <w:r>
        <w:rPr>
          <w:rFonts w:hint="eastAsia" w:ascii="宋体" w:hAnsi="宋体" w:cs="宋体"/>
          <w:color w:val="auto"/>
          <w:sz w:val="22"/>
          <w:highlight w:val="none"/>
        </w:rPr>
        <w:t>注：  1. 项目负责人及其他服务人员均应列入；</w:t>
      </w:r>
    </w:p>
    <w:p w14:paraId="29CE15B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2. 列入本表人员如要更换，需经采购人同意，擅自更换或不到位属违约行为；</w:t>
      </w:r>
    </w:p>
    <w:p w14:paraId="0685495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3. 职称证书、执业资格证书、职业水平证书等人员证件复印件附后（如有）。</w:t>
      </w:r>
    </w:p>
    <w:p w14:paraId="70A91E84">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4.表格可以延续。</w:t>
      </w:r>
    </w:p>
    <w:p w14:paraId="06F7AD01">
      <w:pPr>
        <w:pStyle w:val="12"/>
        <w:tabs>
          <w:tab w:val="left" w:pos="1069"/>
          <w:tab w:val="left" w:pos="2352"/>
        </w:tabs>
        <w:spacing w:line="440" w:lineRule="atLeast"/>
        <w:rPr>
          <w:rFonts w:hAnsi="宋体" w:cs="宋体"/>
          <w:color w:val="auto"/>
          <w:sz w:val="22"/>
          <w:szCs w:val="22"/>
          <w:highlight w:val="none"/>
        </w:rPr>
      </w:pPr>
      <w:r>
        <w:rPr>
          <w:rFonts w:hint="eastAsia" w:hAnsi="宋体" w:cs="宋体"/>
          <w:color w:val="auto"/>
          <w:sz w:val="22"/>
          <w:szCs w:val="22"/>
          <w:highlight w:val="none"/>
        </w:rPr>
        <w:t>供应商全称：（盖章）</w:t>
      </w:r>
    </w:p>
    <w:p w14:paraId="16AF0266">
      <w:pPr>
        <w:pStyle w:val="12"/>
        <w:tabs>
          <w:tab w:val="left" w:pos="1069"/>
          <w:tab w:val="left" w:pos="2352"/>
        </w:tabs>
        <w:spacing w:line="440" w:lineRule="atLeast"/>
        <w:rPr>
          <w:rFonts w:hAnsi="宋体" w:cs="宋体"/>
          <w:color w:val="auto"/>
          <w:sz w:val="22"/>
          <w:szCs w:val="22"/>
          <w:highlight w:val="none"/>
          <w:lang w:val="zh-CN"/>
        </w:rPr>
      </w:pPr>
      <w:r>
        <w:rPr>
          <w:rFonts w:hint="eastAsia" w:hAnsi="宋体" w:cs="宋体"/>
          <w:color w:val="auto"/>
          <w:sz w:val="22"/>
          <w:szCs w:val="22"/>
          <w:highlight w:val="none"/>
        </w:rPr>
        <w:t>法定代表人（签字或盖章）或</w:t>
      </w:r>
      <w:r>
        <w:rPr>
          <w:rFonts w:hint="eastAsia" w:hAnsi="宋体" w:cs="宋体"/>
          <w:color w:val="auto"/>
          <w:sz w:val="22"/>
          <w:szCs w:val="22"/>
          <w:highlight w:val="none"/>
          <w:lang w:val="zh-CN"/>
        </w:rPr>
        <w:t>授权代表（签字）：</w:t>
      </w:r>
    </w:p>
    <w:p w14:paraId="6246FF8C">
      <w:pPr>
        <w:pStyle w:val="12"/>
        <w:tabs>
          <w:tab w:val="left" w:pos="1069"/>
          <w:tab w:val="left" w:pos="2352"/>
        </w:tabs>
        <w:spacing w:line="360" w:lineRule="exact"/>
        <w:jc w:val="left"/>
        <w:rPr>
          <w:rFonts w:hAnsi="宋体" w:cs="宋体"/>
          <w:color w:val="auto"/>
          <w:sz w:val="22"/>
          <w:szCs w:val="22"/>
          <w:highlight w:val="none"/>
        </w:rPr>
      </w:pPr>
      <w:r>
        <w:rPr>
          <w:rFonts w:hint="eastAsia" w:hAnsi="宋体" w:cs="宋体"/>
          <w:color w:val="auto"/>
          <w:sz w:val="22"/>
          <w:szCs w:val="22"/>
          <w:highlight w:val="none"/>
        </w:rPr>
        <w:t>日期：</w:t>
      </w:r>
    </w:p>
    <w:p w14:paraId="7CB20329">
      <w:pPr>
        <w:tabs>
          <w:tab w:val="left" w:pos="1069"/>
          <w:tab w:val="left" w:pos="2352"/>
        </w:tabs>
        <w:spacing w:line="360" w:lineRule="exact"/>
        <w:jc w:val="left"/>
        <w:rPr>
          <w:rFonts w:ascii="宋体" w:hAnsi="宋体" w:cs="宋体"/>
          <w:color w:val="auto"/>
          <w:sz w:val="30"/>
          <w:highlight w:val="none"/>
        </w:rPr>
      </w:pPr>
    </w:p>
    <w:p w14:paraId="0D47F5E2">
      <w:pPr>
        <w:tabs>
          <w:tab w:val="left" w:pos="1069"/>
          <w:tab w:val="left" w:pos="2352"/>
        </w:tabs>
        <w:spacing w:line="360" w:lineRule="exact"/>
        <w:jc w:val="left"/>
        <w:rPr>
          <w:rFonts w:hint="eastAsia" w:ascii="宋体" w:hAnsi="宋体" w:cs="宋体"/>
          <w:b/>
          <w:bCs/>
          <w:color w:val="auto"/>
          <w:sz w:val="30"/>
          <w:highlight w:val="none"/>
          <w:lang w:val="en-US" w:eastAsia="zh-CN"/>
        </w:rPr>
      </w:pPr>
    </w:p>
    <w:p w14:paraId="746FC309">
      <w:pPr>
        <w:tabs>
          <w:tab w:val="left" w:pos="1069"/>
          <w:tab w:val="left" w:pos="2352"/>
        </w:tabs>
        <w:spacing w:line="360" w:lineRule="exact"/>
        <w:jc w:val="left"/>
        <w:rPr>
          <w:rFonts w:hint="default" w:ascii="宋体" w:hAnsi="宋体" w:eastAsia="宋体" w:cs="宋体"/>
          <w:b/>
          <w:bCs/>
          <w:color w:val="auto"/>
          <w:sz w:val="30"/>
          <w:highlight w:val="none"/>
          <w:lang w:val="en-US" w:eastAsia="zh-CN"/>
        </w:rPr>
      </w:pPr>
      <w:r>
        <w:rPr>
          <w:rFonts w:hint="eastAsia" w:ascii="宋体" w:hAnsi="宋体" w:cs="宋体"/>
          <w:b/>
          <w:bCs/>
          <w:color w:val="auto"/>
          <w:sz w:val="30"/>
          <w:highlight w:val="none"/>
          <w:lang w:val="en-US" w:eastAsia="zh-CN"/>
        </w:rPr>
        <w:t>附件九</w:t>
      </w:r>
    </w:p>
    <w:p w14:paraId="56C970A0">
      <w:pPr>
        <w:tabs>
          <w:tab w:val="left" w:pos="1069"/>
          <w:tab w:val="left" w:pos="2352"/>
        </w:tabs>
        <w:spacing w:line="360" w:lineRule="exact"/>
        <w:jc w:val="left"/>
        <w:rPr>
          <w:rFonts w:ascii="宋体" w:hAnsi="宋体" w:cs="宋体"/>
          <w:b/>
          <w:bCs/>
          <w:color w:val="auto"/>
          <w:sz w:val="30"/>
          <w:highlight w:val="none"/>
        </w:rPr>
      </w:pPr>
    </w:p>
    <w:p w14:paraId="75410B3D">
      <w:pPr>
        <w:pStyle w:val="60"/>
        <w:spacing w:line="4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联合</w:t>
      </w:r>
      <w:r>
        <w:rPr>
          <w:rFonts w:hint="eastAsia" w:ascii="宋体" w:hAnsi="宋体"/>
          <w:b/>
          <w:color w:val="auto"/>
          <w:sz w:val="32"/>
          <w:szCs w:val="32"/>
          <w:highlight w:val="none"/>
          <w:lang w:val="en-US" w:eastAsia="zh-CN"/>
        </w:rPr>
        <w:t>投标</w:t>
      </w:r>
      <w:r>
        <w:rPr>
          <w:rFonts w:hint="eastAsia" w:ascii="宋体" w:hAnsi="宋体"/>
          <w:b/>
          <w:color w:val="auto"/>
          <w:sz w:val="32"/>
          <w:szCs w:val="32"/>
          <w:highlight w:val="none"/>
        </w:rPr>
        <w:t>体协议书</w:t>
      </w:r>
    </w:p>
    <w:p w14:paraId="7802D61D">
      <w:pPr>
        <w:pStyle w:val="60"/>
        <w:spacing w:line="400" w:lineRule="exact"/>
        <w:jc w:val="center"/>
        <w:rPr>
          <w:rFonts w:hint="eastAsia" w:ascii="宋体" w:hAnsi="宋体"/>
          <w:color w:val="auto"/>
          <w:sz w:val="32"/>
          <w:szCs w:val="32"/>
          <w:highlight w:val="none"/>
        </w:rPr>
      </w:pPr>
    </w:p>
    <w:p w14:paraId="2740050F">
      <w:pPr>
        <w:widowControl/>
        <w:spacing w:before="100" w:beforeAutospacing="1" w:after="100" w:afterAutospacing="1" w:line="360" w:lineRule="auto"/>
        <w:jc w:val="left"/>
        <w:rPr>
          <w:rFonts w:hint="eastAsia" w:ascii="宋体" w:hAnsi="宋体"/>
          <w:color w:val="auto"/>
          <w:sz w:val="23"/>
          <w:szCs w:val="23"/>
          <w:highlight w:val="none"/>
          <w:u w:val="single"/>
          <w:lang w:val="en-US" w:eastAsia="zh-CN"/>
        </w:rPr>
      </w:pPr>
      <w:r>
        <w:rPr>
          <w:rFonts w:hint="eastAsia" w:ascii="宋体" w:hAnsi="宋体"/>
          <w:color w:val="auto"/>
          <w:sz w:val="23"/>
          <w:szCs w:val="23"/>
          <w:highlight w:val="none"/>
          <w:u w:val="single"/>
          <w:lang w:val="en-US" w:eastAsia="zh-CN"/>
        </w:rPr>
        <w:t xml:space="preserve">    </w:t>
      </w:r>
      <w:r>
        <w:rPr>
          <w:rFonts w:hint="eastAsia" w:ascii="宋体" w:hAnsi="宋体"/>
          <w:color w:val="auto"/>
          <w:kern w:val="0"/>
          <w:sz w:val="22"/>
          <w:highlight w:val="none"/>
          <w:u w:val="single"/>
        </w:rPr>
        <w:t xml:space="preserve">（所有成员单位名称）    </w:t>
      </w:r>
      <w:r>
        <w:rPr>
          <w:rFonts w:hint="eastAsia" w:ascii="宋体" w:hAnsi="宋体"/>
          <w:color w:val="auto"/>
          <w:kern w:val="0"/>
          <w:sz w:val="22"/>
          <w:highlight w:val="none"/>
        </w:rPr>
        <w:t>自愿组成联合体，参加</w:t>
      </w:r>
      <w:r>
        <w:rPr>
          <w:rFonts w:hint="eastAsia" w:ascii="宋体" w:hAnsi="宋体"/>
          <w:color w:val="auto"/>
          <w:kern w:val="0"/>
          <w:sz w:val="22"/>
          <w:highlight w:val="none"/>
          <w:u w:val="single"/>
          <w:lang w:eastAsia="zh-CN"/>
        </w:rPr>
        <w:t>2024年泰顺县司前畲族镇黄桥村晓燕自然村上燕农田宜机化改造项目</w:t>
      </w:r>
      <w:r>
        <w:rPr>
          <w:rFonts w:hint="eastAsia" w:ascii="宋体" w:hAnsi="宋体"/>
          <w:color w:val="auto"/>
          <w:kern w:val="0"/>
          <w:sz w:val="22"/>
          <w:highlight w:val="none"/>
          <w:u w:val="single"/>
        </w:rPr>
        <w:t>（项目编号：</w:t>
      </w:r>
      <w:r>
        <w:rPr>
          <w:rFonts w:hint="eastAsia" w:ascii="宋体" w:hAnsi="宋体"/>
          <w:color w:val="auto"/>
          <w:kern w:val="0"/>
          <w:sz w:val="22"/>
          <w:highlight w:val="none"/>
          <w:u w:val="single"/>
          <w:lang w:eastAsia="zh-CN"/>
        </w:rPr>
        <w:t xml:space="preserve">TSCG202501004 </w:t>
      </w:r>
      <w:r>
        <w:rPr>
          <w:rFonts w:hint="eastAsia" w:ascii="宋体" w:hAnsi="宋体"/>
          <w:color w:val="auto"/>
          <w:kern w:val="0"/>
          <w:sz w:val="22"/>
          <w:highlight w:val="none"/>
          <w:u w:val="single"/>
        </w:rPr>
        <w:t>）项目</w:t>
      </w:r>
      <w:r>
        <w:rPr>
          <w:rFonts w:hint="eastAsia" w:ascii="宋体" w:hAnsi="宋体"/>
          <w:color w:val="auto"/>
          <w:kern w:val="0"/>
          <w:sz w:val="22"/>
          <w:highlight w:val="none"/>
        </w:rPr>
        <w:t>投标。现就有关事宜订立协议如下：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为联合体牵头人，</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为联合体成员；</w:t>
      </w:r>
      <w:r>
        <w:rPr>
          <w:rFonts w:hint="eastAsia" w:ascii="宋体" w:hAnsi="宋体"/>
          <w:color w:val="auto"/>
          <w:kern w:val="0"/>
          <w:sz w:val="22"/>
          <w:highlight w:val="none"/>
        </w:rPr>
        <w:br w:type="textWrapping"/>
      </w:r>
      <w:r>
        <w:rPr>
          <w:rFonts w:hint="eastAsia" w:ascii="宋体" w:hAnsi="宋体"/>
          <w:color w:val="auto"/>
          <w:kern w:val="0"/>
          <w:sz w:val="22"/>
          <w:highlight w:val="none"/>
        </w:rPr>
        <w:t>2．联合体内部有关事项规定如下：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（1）联合体由牵头人负责与业主联系；</w:t>
      </w:r>
      <w:r>
        <w:rPr>
          <w:rFonts w:hint="eastAsia" w:ascii="宋体" w:hAnsi="宋体"/>
          <w:color w:val="auto"/>
          <w:kern w:val="0"/>
          <w:sz w:val="22"/>
          <w:highlight w:val="none"/>
        </w:rPr>
        <w:br w:type="textWrapping"/>
      </w:r>
      <w:r>
        <w:rPr>
          <w:rFonts w:hint="eastAsia" w:ascii="宋体" w:hAnsi="宋体"/>
          <w:color w:val="auto"/>
          <w:kern w:val="0"/>
          <w:sz w:val="22"/>
          <w:highlight w:val="none"/>
        </w:rPr>
        <w:t>（2）投标工作由联合体牵头人负责，由双方组成的投标小组具体实施</w:t>
      </w:r>
      <w:r>
        <w:rPr>
          <w:rFonts w:hint="eastAsia" w:ascii="宋体" w:hAnsi="宋体"/>
          <w:color w:val="auto"/>
          <w:kern w:val="0"/>
          <w:sz w:val="22"/>
          <w:highlight w:val="none"/>
          <w:lang w:eastAsia="zh-CN"/>
        </w:rPr>
        <w:t>，</w:t>
      </w:r>
      <w:r>
        <w:rPr>
          <w:rFonts w:hint="eastAsia" w:ascii="宋体" w:hAnsi="宋体"/>
          <w:color w:val="auto"/>
          <w:kern w:val="0"/>
          <w:sz w:val="22"/>
          <w:highlight w:val="none"/>
          <w:lang w:val="en-US" w:eastAsia="zh-CN"/>
        </w:rPr>
        <w:t>其中</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负责运营部分，</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负责宜机化改造部分</w:t>
      </w:r>
      <w:r>
        <w:rPr>
          <w:rFonts w:hint="eastAsia" w:ascii="宋体" w:hAnsi="宋体"/>
          <w:color w:val="auto"/>
          <w:kern w:val="0"/>
          <w:sz w:val="22"/>
          <w:highlight w:val="none"/>
        </w:rPr>
        <w:t>；</w:t>
      </w:r>
      <w:r>
        <w:rPr>
          <w:rFonts w:hint="eastAsia" w:ascii="宋体" w:hAnsi="宋体"/>
          <w:color w:val="auto"/>
          <w:kern w:val="0"/>
          <w:sz w:val="22"/>
          <w:highlight w:val="none"/>
        </w:rPr>
        <w:br w:type="textWrapping"/>
      </w:r>
      <w:r>
        <w:rPr>
          <w:rFonts w:hint="eastAsia" w:ascii="宋体" w:hAnsi="宋体"/>
          <w:color w:val="auto"/>
          <w:kern w:val="0"/>
          <w:sz w:val="22"/>
          <w:highlight w:val="none"/>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olor w:val="auto"/>
          <w:kern w:val="0"/>
          <w:sz w:val="22"/>
          <w:highlight w:val="none"/>
        </w:rPr>
        <w:br w:type="textWrapping"/>
      </w:r>
      <w:r>
        <w:rPr>
          <w:rFonts w:hint="eastAsia" w:ascii="宋体" w:hAnsi="宋体"/>
          <w:color w:val="auto"/>
          <w:kern w:val="0"/>
          <w:sz w:val="22"/>
          <w:highlight w:val="none"/>
        </w:rPr>
        <w:t xml:space="preserve">（4）联合体各成员单位内部的职责分工如下：                                     </w:t>
      </w:r>
      <w:r>
        <w:rPr>
          <w:rFonts w:hint="eastAsia" w:ascii="宋体" w:hAnsi="宋体"/>
          <w:color w:val="auto"/>
          <w:kern w:val="0"/>
          <w:sz w:val="22"/>
          <w:highlight w:val="none"/>
        </w:rPr>
        <w:br w:type="textWrapping"/>
      </w:r>
      <w:r>
        <w:rPr>
          <w:rFonts w:hint="eastAsia" w:ascii="宋体" w:hAnsi="宋体"/>
          <w:color w:val="auto"/>
          <w:kern w:val="0"/>
          <w:sz w:val="22"/>
          <w:highlight w:val="none"/>
        </w:rPr>
        <w:t>（5）投标工作和联合体在中标后工程实施过程中的有关费用按各自承担的工作量分摊。</w:t>
      </w:r>
      <w:r>
        <w:rPr>
          <w:rFonts w:hint="eastAsia" w:ascii="宋体" w:hAnsi="宋体"/>
          <w:color w:val="auto"/>
          <w:kern w:val="0"/>
          <w:sz w:val="22"/>
          <w:highlight w:val="none"/>
        </w:rPr>
        <w:br w:type="textWrapping"/>
      </w:r>
      <w:r>
        <w:rPr>
          <w:rFonts w:hint="eastAsia" w:ascii="宋体" w:hAnsi="宋体"/>
          <w:color w:val="auto"/>
          <w:kern w:val="0"/>
          <w:sz w:val="22"/>
          <w:highlight w:val="none"/>
        </w:rPr>
        <w:t>3．本协议书自签署之日起生效，合同履行完毕后自动失效。</w:t>
      </w:r>
      <w:r>
        <w:rPr>
          <w:rFonts w:hint="eastAsia" w:ascii="宋体" w:hAnsi="宋体"/>
          <w:color w:val="auto"/>
          <w:kern w:val="0"/>
          <w:sz w:val="22"/>
          <w:highlight w:val="none"/>
        </w:rPr>
        <w:br w:type="textWrapping"/>
      </w:r>
      <w:r>
        <w:rPr>
          <w:rFonts w:hint="eastAsia" w:ascii="宋体" w:hAnsi="宋体"/>
          <w:color w:val="auto"/>
          <w:kern w:val="0"/>
          <w:sz w:val="22"/>
          <w:highlight w:val="none"/>
        </w:rPr>
        <w:t>4．本协议书正本一式三份，送交业主一份，联合体成员各一份。</w:t>
      </w:r>
    </w:p>
    <w:p w14:paraId="74FAD5A1">
      <w:pPr>
        <w:widowControl/>
        <w:spacing w:before="100" w:beforeAutospacing="1" w:after="100" w:afterAutospacing="1" w:line="360" w:lineRule="auto"/>
        <w:jc w:val="left"/>
        <w:rPr>
          <w:rFonts w:hint="eastAsia" w:ascii="宋体" w:hAnsi="宋体"/>
          <w:color w:val="auto"/>
          <w:kern w:val="0"/>
          <w:sz w:val="22"/>
          <w:highlight w:val="none"/>
        </w:rPr>
      </w:pPr>
    </w:p>
    <w:p w14:paraId="0CC299CB">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联合体牵头人名称（盖公章）：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6645B5CA">
      <w:pPr>
        <w:spacing w:line="360" w:lineRule="auto"/>
        <w:jc w:val="left"/>
        <w:rPr>
          <w:rFonts w:hint="eastAsia" w:ascii="宋体" w:hAnsi="宋体"/>
          <w:color w:val="auto"/>
          <w:kern w:val="0"/>
          <w:sz w:val="22"/>
          <w:highlight w:val="none"/>
        </w:rPr>
      </w:pPr>
    </w:p>
    <w:p w14:paraId="08922410">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联合体成员名称（盖公章）：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2448AC6E">
      <w:pPr>
        <w:spacing w:line="360" w:lineRule="exact"/>
        <w:jc w:val="left"/>
        <w:rPr>
          <w:rFonts w:hint="eastAsia" w:ascii="宋体"/>
          <w:b/>
          <w:bCs/>
          <w:color w:val="auto"/>
          <w:sz w:val="30"/>
          <w:highlight w:val="none"/>
        </w:rPr>
      </w:pPr>
    </w:p>
    <w:p w14:paraId="067D147A">
      <w:pPr>
        <w:spacing w:line="360" w:lineRule="exact"/>
        <w:jc w:val="both"/>
        <w:rPr>
          <w:rFonts w:hint="eastAsia" w:ascii="宋体"/>
          <w:b/>
          <w:bCs/>
          <w:color w:val="auto"/>
          <w:sz w:val="24"/>
          <w:szCs w:val="24"/>
          <w:highlight w:val="none"/>
        </w:rPr>
      </w:pPr>
      <w:r>
        <w:rPr>
          <w:rFonts w:hint="eastAsia" w:ascii="宋体"/>
          <w:b/>
          <w:bCs/>
          <w:color w:val="auto"/>
          <w:sz w:val="24"/>
          <w:szCs w:val="24"/>
          <w:highlight w:val="none"/>
        </w:rPr>
        <w:t>注：</w:t>
      </w:r>
      <w:r>
        <w:rPr>
          <w:rFonts w:hint="eastAsia" w:ascii="宋体"/>
          <w:b/>
          <w:bCs/>
          <w:color w:val="auto"/>
          <w:sz w:val="24"/>
          <w:szCs w:val="24"/>
          <w:highlight w:val="none"/>
          <w:u w:val="single"/>
        </w:rPr>
        <w:t>此版为参考模式，可以删减，供应商应结合实际明确双方权利和义务</w:t>
      </w:r>
      <w:r>
        <w:rPr>
          <w:rFonts w:hint="eastAsia" w:ascii="宋体"/>
          <w:b/>
          <w:bCs/>
          <w:color w:val="auto"/>
          <w:sz w:val="24"/>
          <w:szCs w:val="24"/>
          <w:highlight w:val="none"/>
        </w:rPr>
        <w:t>。</w:t>
      </w:r>
    </w:p>
    <w:p w14:paraId="7AE6B14C">
      <w:pPr>
        <w:tabs>
          <w:tab w:val="left" w:pos="1069"/>
          <w:tab w:val="left" w:pos="2352"/>
        </w:tabs>
        <w:spacing w:line="360" w:lineRule="exact"/>
        <w:jc w:val="left"/>
        <w:rPr>
          <w:rFonts w:hint="eastAsia" w:ascii="宋体" w:hAnsi="宋体" w:cs="宋体"/>
          <w:b/>
          <w:bCs/>
          <w:color w:val="auto"/>
          <w:sz w:val="30"/>
          <w:highlight w:val="none"/>
        </w:rPr>
      </w:pPr>
    </w:p>
    <w:p w14:paraId="782D0E55">
      <w:pPr>
        <w:tabs>
          <w:tab w:val="left" w:pos="1069"/>
          <w:tab w:val="left" w:pos="2352"/>
        </w:tabs>
        <w:spacing w:line="360" w:lineRule="exact"/>
        <w:jc w:val="left"/>
        <w:rPr>
          <w:rFonts w:hint="eastAsia" w:ascii="宋体" w:hAnsi="宋体" w:cs="宋体"/>
          <w:b/>
          <w:bCs/>
          <w:color w:val="auto"/>
          <w:sz w:val="30"/>
          <w:highlight w:val="none"/>
        </w:rPr>
      </w:pPr>
    </w:p>
    <w:p w14:paraId="3336F118">
      <w:pPr>
        <w:tabs>
          <w:tab w:val="left" w:pos="1069"/>
          <w:tab w:val="left" w:pos="2352"/>
        </w:tabs>
        <w:spacing w:line="360" w:lineRule="exact"/>
        <w:jc w:val="left"/>
        <w:rPr>
          <w:rFonts w:ascii="宋体" w:hAnsi="宋体" w:cs="宋体"/>
          <w:b/>
          <w:bCs/>
          <w:color w:val="auto"/>
          <w:szCs w:val="21"/>
          <w:highlight w:val="none"/>
        </w:rPr>
      </w:pPr>
      <w:r>
        <w:rPr>
          <w:rFonts w:hint="eastAsia" w:ascii="宋体" w:hAnsi="宋体" w:cs="宋体"/>
          <w:b/>
          <w:bCs/>
          <w:color w:val="auto"/>
          <w:sz w:val="30"/>
          <w:highlight w:val="none"/>
        </w:rPr>
        <w:t>附件十</w:t>
      </w:r>
    </w:p>
    <w:p w14:paraId="0C1A9523">
      <w:pPr>
        <w:tabs>
          <w:tab w:val="left" w:pos="1069"/>
          <w:tab w:val="left" w:pos="2352"/>
        </w:tabs>
        <w:autoSpaceDE w:val="0"/>
        <w:autoSpaceDN w:val="0"/>
        <w:adjustRightInd w:val="0"/>
        <w:spacing w:line="500" w:lineRule="atLeast"/>
        <w:jc w:val="center"/>
        <w:rPr>
          <w:rFonts w:ascii="宋体" w:hAnsi="宋体" w:cs="宋体"/>
          <w:b/>
          <w:bCs/>
          <w:color w:val="auto"/>
          <w:sz w:val="32"/>
          <w:highlight w:val="none"/>
        </w:rPr>
      </w:pPr>
      <w:bookmarkStart w:id="263" w:name="_Toc28287_WPSOffice_Level3"/>
      <w:r>
        <w:rPr>
          <w:rFonts w:hint="eastAsia" w:ascii="宋体" w:hAnsi="宋体" w:cs="宋体"/>
          <w:b/>
          <w:bCs/>
          <w:color w:val="auto"/>
          <w:sz w:val="32"/>
          <w:highlight w:val="none"/>
        </w:rPr>
        <w:t>供应商项目业绩清单</w:t>
      </w:r>
      <w:bookmarkEnd w:id="263"/>
    </w:p>
    <w:p w14:paraId="5E1395B4">
      <w:pPr>
        <w:pStyle w:val="12"/>
        <w:tabs>
          <w:tab w:val="left" w:pos="1069"/>
          <w:tab w:val="left" w:pos="2352"/>
        </w:tabs>
        <w:spacing w:line="360" w:lineRule="exact"/>
        <w:jc w:val="center"/>
        <w:rPr>
          <w:rFonts w:hAnsi="宋体" w:cs="宋体"/>
          <w:color w:val="auto"/>
          <w:sz w:val="22"/>
          <w:highlight w:val="none"/>
        </w:rPr>
      </w:pPr>
    </w:p>
    <w:tbl>
      <w:tblPr>
        <w:tblStyle w:val="31"/>
        <w:tblW w:w="0" w:type="auto"/>
        <w:tblInd w:w="9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7293688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56" w:type="dxa"/>
            <w:tcBorders>
              <w:top w:val="double" w:color="000000" w:sz="6" w:space="0"/>
            </w:tcBorders>
            <w:vAlign w:val="center"/>
          </w:tcPr>
          <w:p w14:paraId="4D31AA1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序号</w:t>
            </w:r>
          </w:p>
        </w:tc>
        <w:tc>
          <w:tcPr>
            <w:tcW w:w="1153" w:type="dxa"/>
            <w:tcBorders>
              <w:top w:val="double" w:color="000000" w:sz="6" w:space="0"/>
            </w:tcBorders>
            <w:vAlign w:val="center"/>
          </w:tcPr>
          <w:p w14:paraId="5468CA1F">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采购</w:t>
            </w:r>
          </w:p>
          <w:p w14:paraId="0047E702">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单位</w:t>
            </w:r>
          </w:p>
        </w:tc>
        <w:tc>
          <w:tcPr>
            <w:tcW w:w="1154" w:type="dxa"/>
            <w:tcBorders>
              <w:top w:val="double" w:color="000000" w:sz="6" w:space="0"/>
            </w:tcBorders>
            <w:vAlign w:val="center"/>
          </w:tcPr>
          <w:p w14:paraId="3CA5D87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项目</w:t>
            </w:r>
          </w:p>
          <w:p w14:paraId="3FAD4F8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名称</w:t>
            </w:r>
          </w:p>
        </w:tc>
        <w:tc>
          <w:tcPr>
            <w:tcW w:w="1154" w:type="dxa"/>
            <w:tcBorders>
              <w:top w:val="double" w:color="000000" w:sz="6" w:space="0"/>
            </w:tcBorders>
            <w:vAlign w:val="center"/>
          </w:tcPr>
          <w:p w14:paraId="387398B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数量</w:t>
            </w:r>
          </w:p>
        </w:tc>
        <w:tc>
          <w:tcPr>
            <w:tcW w:w="1154" w:type="dxa"/>
            <w:tcBorders>
              <w:top w:val="double" w:color="000000" w:sz="6" w:space="0"/>
            </w:tcBorders>
            <w:vAlign w:val="center"/>
          </w:tcPr>
          <w:p w14:paraId="109B7E1A">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合同</w:t>
            </w:r>
          </w:p>
          <w:p w14:paraId="60E5F20C">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金额</w:t>
            </w:r>
          </w:p>
        </w:tc>
        <w:tc>
          <w:tcPr>
            <w:tcW w:w="1154" w:type="dxa"/>
            <w:tcBorders>
              <w:top w:val="double" w:color="000000" w:sz="6" w:space="0"/>
            </w:tcBorders>
            <w:vAlign w:val="center"/>
          </w:tcPr>
          <w:p w14:paraId="27A29651">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签约</w:t>
            </w:r>
          </w:p>
          <w:p w14:paraId="3641911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日期</w:t>
            </w:r>
          </w:p>
        </w:tc>
        <w:tc>
          <w:tcPr>
            <w:tcW w:w="1154" w:type="dxa"/>
            <w:tcBorders>
              <w:top w:val="double" w:color="000000" w:sz="6" w:space="0"/>
            </w:tcBorders>
            <w:vAlign w:val="center"/>
          </w:tcPr>
          <w:p w14:paraId="01DE8F70">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联系人</w:t>
            </w:r>
          </w:p>
        </w:tc>
        <w:tc>
          <w:tcPr>
            <w:tcW w:w="1154" w:type="dxa"/>
            <w:tcBorders>
              <w:top w:val="double" w:color="000000" w:sz="6" w:space="0"/>
            </w:tcBorders>
            <w:vAlign w:val="center"/>
          </w:tcPr>
          <w:p w14:paraId="3BB41258">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w:t>
            </w:r>
          </w:p>
          <w:p w14:paraId="34E6544D">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电话</w:t>
            </w:r>
          </w:p>
        </w:tc>
        <w:tc>
          <w:tcPr>
            <w:tcW w:w="770" w:type="dxa"/>
            <w:tcBorders>
              <w:top w:val="double" w:color="000000" w:sz="6" w:space="0"/>
            </w:tcBorders>
            <w:vAlign w:val="center"/>
          </w:tcPr>
          <w:p w14:paraId="446F6AEB">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备注</w:t>
            </w:r>
          </w:p>
        </w:tc>
      </w:tr>
      <w:tr w14:paraId="50287C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29FC32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A0049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2FDC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F1BA3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EA447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0B81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9B04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DAB60E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568BF8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F4D581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0C6FF3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B16CB1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150B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795BB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48B7D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544C4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4B9D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2BB151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0F1E20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A1B475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3756E4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5B4959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14E54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7F51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C646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85A3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C951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B9CAD5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F8A1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B2A5F6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39F0E11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CB80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0F7C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F1DD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84CB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793FE7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ED3C9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ECC2C9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A3F6CD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D603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81B091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35411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1B22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B539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B6D8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8E346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1C245D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9D0E7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D3840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D4488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F2B0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5FB331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224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F853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CAB3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19D378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8CF5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BFFE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72B44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5B8DEE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A617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43B38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8484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B9E60B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C802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D7267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2B12EF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D97A4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F1B084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BC476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1C3D7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3A1E80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C17A2E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601C6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0827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2EE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6A68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D695E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17C3B7E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991365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09AF90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86E03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C2EA9A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83014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05F70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3B02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CDD24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47FE1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9BEAC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15357E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9B805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BE5E06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5041B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18B6B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1338D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B909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74656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2C39D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29D7D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66FDC0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4A008BD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4308BB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9383B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62DFE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8A920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9843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E3891D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D8E01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9E8A81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D4B5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6B570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55748C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471D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2855C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F1F45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D935C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0278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4EAB2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390C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91B81A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BB664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35CAA3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A9233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4522F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37AB76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380F7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F3FE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EAC46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CCC9D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D32AC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3F79E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B4B4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A9E1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3425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27AA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7AE1D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4F21F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CEF45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B6C47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7D0744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07140E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04BEA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D1DB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5197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543D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FB86B7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C21FF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671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8314B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3F8113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3E6F9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1B08DAA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183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F9CA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5F5F7D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308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987C87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FCBA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83E6D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5A4647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B056E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21736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8B259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1B44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62B42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135D5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DE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14DA0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4B15AD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E03E3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9130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01FBAD9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CD13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E1A09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3E4B4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BA1BA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9036A6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8D633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877A89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A071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EB8CD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AD9035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2E607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482DC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0924F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A797DD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98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87DC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EB7224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A9886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91A9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6EBD5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914A1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00A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2FC55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A9EFA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32F8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6265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206C5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3FC1DC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tcPr>
          <w:p w14:paraId="031AD65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Borders>
              <w:bottom w:val="double" w:color="000000" w:sz="6" w:space="0"/>
            </w:tcBorders>
          </w:tcPr>
          <w:p w14:paraId="107E93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E5CF5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9B08C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0E8EB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2CDD5C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FD4C6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05A7BE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Borders>
              <w:bottom w:val="double" w:color="000000" w:sz="6" w:space="0"/>
            </w:tcBorders>
          </w:tcPr>
          <w:p w14:paraId="62BDDA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bl>
    <w:p w14:paraId="7FD38C9C">
      <w:pPr>
        <w:pStyle w:val="12"/>
        <w:tabs>
          <w:tab w:val="left" w:pos="1069"/>
          <w:tab w:val="left" w:pos="2352"/>
        </w:tabs>
        <w:spacing w:line="360" w:lineRule="exact"/>
        <w:rPr>
          <w:rFonts w:hAnsi="宋体" w:cs="宋体"/>
          <w:b/>
          <w:bCs/>
          <w:color w:val="auto"/>
          <w:sz w:val="32"/>
          <w:highlight w:val="none"/>
        </w:rPr>
      </w:pPr>
      <w:r>
        <w:rPr>
          <w:rFonts w:hint="eastAsia" w:hAnsi="宋体" w:cs="宋体"/>
          <w:color w:val="auto"/>
          <w:sz w:val="22"/>
          <w:highlight w:val="none"/>
        </w:rPr>
        <w:t>本表后附相关证明材料，证明材料以第七部分评审细则中的要求为准。</w:t>
      </w:r>
    </w:p>
    <w:p w14:paraId="371FF077">
      <w:pPr>
        <w:tabs>
          <w:tab w:val="left" w:pos="1069"/>
          <w:tab w:val="left" w:pos="2352"/>
        </w:tabs>
        <w:rPr>
          <w:rFonts w:ascii="宋体" w:hAnsi="宋体" w:cs="宋体"/>
          <w:color w:val="auto"/>
          <w:spacing w:val="20"/>
          <w:sz w:val="22"/>
          <w:highlight w:val="none"/>
        </w:rPr>
      </w:pPr>
    </w:p>
    <w:p w14:paraId="2041378A">
      <w:pPr>
        <w:tabs>
          <w:tab w:val="left" w:pos="1069"/>
          <w:tab w:val="left" w:pos="2352"/>
        </w:tabs>
        <w:rPr>
          <w:rFonts w:ascii="宋体" w:hAnsi="宋体" w:cs="宋体"/>
          <w:color w:val="auto"/>
          <w:sz w:val="36"/>
          <w:szCs w:val="36"/>
          <w:highlight w:val="none"/>
        </w:rPr>
      </w:pPr>
      <w:r>
        <w:rPr>
          <w:rFonts w:hint="eastAsia" w:ascii="宋体" w:hAnsi="宋体" w:cs="宋体"/>
          <w:color w:val="auto"/>
          <w:spacing w:val="20"/>
          <w:sz w:val="22"/>
          <w:highlight w:val="none"/>
        </w:rPr>
        <w:t>供应商盖章：</w:t>
      </w:r>
    </w:p>
    <w:p w14:paraId="01F93DAC">
      <w:pPr>
        <w:tabs>
          <w:tab w:val="left" w:pos="1069"/>
          <w:tab w:val="left" w:pos="2352"/>
        </w:tabs>
        <w:spacing w:line="400" w:lineRule="exact"/>
        <w:jc w:val="left"/>
        <w:rPr>
          <w:rFonts w:ascii="宋体" w:hAnsi="宋体" w:cs="宋体"/>
          <w:b/>
          <w:bCs/>
          <w:color w:val="auto"/>
          <w:sz w:val="30"/>
          <w:highlight w:val="none"/>
        </w:rPr>
      </w:pPr>
    </w:p>
    <w:p w14:paraId="6440C2FD">
      <w:pPr>
        <w:tabs>
          <w:tab w:val="left" w:pos="1069"/>
          <w:tab w:val="left" w:pos="2352"/>
        </w:tabs>
        <w:spacing w:line="400" w:lineRule="exact"/>
        <w:jc w:val="left"/>
        <w:rPr>
          <w:rFonts w:ascii="宋体" w:hAnsi="宋体" w:cs="宋体"/>
          <w:b/>
          <w:bCs/>
          <w:color w:val="auto"/>
          <w:sz w:val="30"/>
          <w:highlight w:val="none"/>
        </w:rPr>
      </w:pPr>
    </w:p>
    <w:p w14:paraId="26F9DBC9">
      <w:pPr>
        <w:tabs>
          <w:tab w:val="left" w:pos="1069"/>
          <w:tab w:val="left" w:pos="2352"/>
        </w:tabs>
        <w:spacing w:line="400" w:lineRule="exact"/>
        <w:jc w:val="left"/>
        <w:rPr>
          <w:rFonts w:ascii="宋体" w:hAnsi="宋体" w:cs="宋体"/>
          <w:b/>
          <w:bCs/>
          <w:color w:val="auto"/>
          <w:sz w:val="30"/>
          <w:highlight w:val="none"/>
        </w:rPr>
      </w:pPr>
    </w:p>
    <w:p w14:paraId="1FA03566">
      <w:pPr>
        <w:tabs>
          <w:tab w:val="left" w:pos="1069"/>
          <w:tab w:val="left" w:pos="2352"/>
        </w:tabs>
        <w:spacing w:line="400" w:lineRule="exact"/>
        <w:jc w:val="left"/>
        <w:rPr>
          <w:rFonts w:ascii="宋体" w:hAnsi="宋体" w:cs="宋体"/>
          <w:b/>
          <w:bCs/>
          <w:color w:val="auto"/>
          <w:sz w:val="30"/>
          <w:highlight w:val="none"/>
        </w:rPr>
      </w:pPr>
    </w:p>
    <w:p w14:paraId="643F966E">
      <w:pPr>
        <w:tabs>
          <w:tab w:val="left" w:pos="1069"/>
          <w:tab w:val="left" w:pos="2352"/>
        </w:tabs>
        <w:spacing w:line="400" w:lineRule="exact"/>
        <w:jc w:val="left"/>
        <w:rPr>
          <w:rFonts w:ascii="宋体" w:hAnsi="宋体" w:cs="宋体"/>
          <w:b/>
          <w:bCs/>
          <w:color w:val="auto"/>
          <w:sz w:val="30"/>
          <w:highlight w:val="none"/>
        </w:rPr>
      </w:pPr>
      <w:r>
        <w:rPr>
          <w:rFonts w:hint="eastAsia" w:ascii="宋体" w:hAnsi="宋体" w:cs="宋体"/>
          <w:b/>
          <w:bCs/>
          <w:color w:val="auto"/>
          <w:sz w:val="30"/>
          <w:highlight w:val="none"/>
        </w:rPr>
        <w:t>附件十一</w:t>
      </w:r>
    </w:p>
    <w:p w14:paraId="2CA14834">
      <w:pPr>
        <w:tabs>
          <w:tab w:val="left" w:pos="1069"/>
          <w:tab w:val="left" w:pos="2352"/>
        </w:tabs>
        <w:spacing w:line="420" w:lineRule="exact"/>
        <w:jc w:val="center"/>
        <w:rPr>
          <w:rFonts w:ascii="宋体" w:hAnsi="宋体" w:cs="宋体"/>
          <w:b/>
          <w:bCs/>
          <w:color w:val="auto"/>
          <w:sz w:val="30"/>
          <w:highlight w:val="none"/>
        </w:rPr>
      </w:pPr>
      <w:bookmarkStart w:id="264" w:name="_Toc31819"/>
      <w:r>
        <w:rPr>
          <w:rFonts w:hint="eastAsia" w:ascii="宋体" w:hAnsi="宋体" w:cs="宋体"/>
          <w:b/>
          <w:bCs/>
          <w:color w:val="auto"/>
          <w:sz w:val="30"/>
          <w:highlight w:val="none"/>
        </w:rPr>
        <w:t>政府采购活动现场确认声明书</w:t>
      </w:r>
      <w:bookmarkEnd w:id="264"/>
    </w:p>
    <w:p w14:paraId="18015EEE">
      <w:pPr>
        <w:pStyle w:val="47"/>
        <w:widowControl w:val="0"/>
        <w:tabs>
          <w:tab w:val="left" w:pos="1069"/>
          <w:tab w:val="left" w:pos="2352"/>
        </w:tabs>
        <w:snapToGrid w:val="0"/>
        <w:spacing w:line="420" w:lineRule="exact"/>
        <w:jc w:val="both"/>
        <w:rPr>
          <w:rFonts w:hAnsi="宋体" w:cs="宋体"/>
          <w:color w:val="auto"/>
          <w:kern w:val="0"/>
          <w:sz w:val="24"/>
          <w:szCs w:val="24"/>
          <w:highlight w:val="none"/>
          <w:u w:val="single"/>
        </w:rPr>
      </w:pPr>
    </w:p>
    <w:p w14:paraId="680FBE6F">
      <w:pPr>
        <w:pStyle w:val="47"/>
        <w:widowControl w:val="0"/>
        <w:tabs>
          <w:tab w:val="left" w:pos="1069"/>
          <w:tab w:val="left" w:pos="2352"/>
        </w:tabs>
        <w:snapToGrid w:val="0"/>
        <w:spacing w:line="400" w:lineRule="exact"/>
        <w:jc w:val="both"/>
        <w:rPr>
          <w:rFonts w:hAnsi="宋体" w:cs="宋体"/>
          <w:color w:val="auto"/>
          <w:kern w:val="0"/>
          <w:sz w:val="22"/>
          <w:szCs w:val="22"/>
          <w:highlight w:val="none"/>
        </w:rPr>
      </w:pPr>
      <w:r>
        <w:rPr>
          <w:rFonts w:hint="eastAsia" w:hAnsi="宋体" w:cs="宋体"/>
          <w:color w:val="auto"/>
          <w:kern w:val="0"/>
          <w:sz w:val="22"/>
          <w:szCs w:val="22"/>
          <w:highlight w:val="none"/>
          <w:u w:val="single"/>
        </w:rPr>
        <w:t>杭州华旗招标代理有限公司</w:t>
      </w:r>
      <w:r>
        <w:rPr>
          <w:rFonts w:hint="eastAsia" w:hAnsi="宋体" w:cs="宋体"/>
          <w:color w:val="auto"/>
          <w:kern w:val="0"/>
          <w:sz w:val="22"/>
          <w:szCs w:val="22"/>
          <w:highlight w:val="none"/>
        </w:rPr>
        <w:t>：</w:t>
      </w:r>
    </w:p>
    <w:p w14:paraId="4180337F">
      <w:pPr>
        <w:pStyle w:val="47"/>
        <w:widowControl w:val="0"/>
        <w:tabs>
          <w:tab w:val="left" w:pos="1069"/>
          <w:tab w:val="left" w:pos="2352"/>
        </w:tabs>
        <w:snapToGrid w:val="0"/>
        <w:spacing w:line="400" w:lineRule="exact"/>
        <w:ind w:firstLine="470" w:firstLineChars="200"/>
        <w:jc w:val="both"/>
        <w:rPr>
          <w:rFonts w:hAnsi="宋体" w:cs="宋体"/>
          <w:color w:val="auto"/>
          <w:spacing w:val="6"/>
          <w:sz w:val="22"/>
          <w:szCs w:val="22"/>
          <w:highlight w:val="none"/>
        </w:rPr>
      </w:pPr>
      <w:r>
        <w:rPr>
          <w:rFonts w:hint="eastAsia" w:hAnsi="宋体" w:cs="宋体"/>
          <w:color w:val="auto"/>
          <w:spacing w:val="6"/>
          <w:sz w:val="22"/>
          <w:szCs w:val="22"/>
          <w:highlight w:val="none"/>
        </w:rPr>
        <w:t>本人经由</w:t>
      </w:r>
      <w:r>
        <w:rPr>
          <w:rFonts w:hint="eastAsia" w:hAnsi="宋体" w:cs="宋体"/>
          <w:color w:val="auto"/>
          <w:spacing w:val="6"/>
          <w:sz w:val="22"/>
          <w:szCs w:val="22"/>
          <w:highlight w:val="none"/>
          <w:u w:val="single"/>
        </w:rPr>
        <w:t xml:space="preserve">   （供应商全称）     </w:t>
      </w:r>
      <w:r>
        <w:rPr>
          <w:rFonts w:hint="eastAsia" w:hAnsi="宋体" w:cs="宋体"/>
          <w:color w:val="auto"/>
          <w:spacing w:val="6"/>
          <w:sz w:val="22"/>
          <w:szCs w:val="22"/>
          <w:highlight w:val="none"/>
        </w:rPr>
        <w:t>负责人</w:t>
      </w:r>
      <w:r>
        <w:rPr>
          <w:rFonts w:hint="eastAsia" w:hAnsi="宋体" w:cs="宋体"/>
          <w:color w:val="auto"/>
          <w:spacing w:val="6"/>
          <w:sz w:val="22"/>
          <w:szCs w:val="22"/>
          <w:highlight w:val="none"/>
          <w:u w:val="single"/>
        </w:rPr>
        <w:t xml:space="preserve">   （法定代表人姓名）</w:t>
      </w:r>
      <w:r>
        <w:rPr>
          <w:rFonts w:hint="eastAsia" w:hAnsi="宋体" w:cs="宋体"/>
          <w:color w:val="auto"/>
          <w:spacing w:val="6"/>
          <w:sz w:val="22"/>
          <w:szCs w:val="22"/>
          <w:highlight w:val="none"/>
        </w:rPr>
        <w:t>合法授权参加</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2024年泰顺县司前畲族镇黄桥村晓燕自然村上燕农田宜机化改造项目</w:t>
      </w:r>
      <w:r>
        <w:rPr>
          <w:rFonts w:hint="eastAsia" w:hAnsi="宋体" w:cs="宋体"/>
          <w:color w:val="auto"/>
          <w:spacing w:val="6"/>
          <w:sz w:val="22"/>
          <w:szCs w:val="22"/>
          <w:highlight w:val="none"/>
        </w:rPr>
        <w:t>（项目编号：</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TSCG202501004</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rPr>
        <w:t xml:space="preserve">）政府采购活动，经与本单位法人代表（负责人）联系确认，现就有关公平竞争事项郑重声明如下： </w:t>
      </w:r>
    </w:p>
    <w:p w14:paraId="1711540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一、本单位与采购人之间 □不存在利害关系 □存在下列利害关系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53E6831A">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A.投资关系    B.行政隶属关系    C.业务指导关系</w:t>
      </w:r>
    </w:p>
    <w:p w14:paraId="0D719CA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D.其他可能</w:t>
      </w:r>
      <w:r>
        <w:rPr>
          <w:rFonts w:ascii="宋体" w:hAnsi="宋体" w:cs="宋体"/>
          <w:color w:val="auto"/>
          <w:sz w:val="22"/>
          <w:szCs w:val="22"/>
          <w:highlight w:val="none"/>
        </w:rPr>
        <w:t>影响采购公正的</w:t>
      </w:r>
      <w:r>
        <w:rPr>
          <w:rFonts w:ascii="宋体" w:hAnsi="宋体" w:cs="宋体"/>
          <w:color w:val="auto"/>
          <w:kern w:val="0"/>
          <w:sz w:val="22"/>
          <w:szCs w:val="22"/>
          <w:highlight w:val="none"/>
        </w:rPr>
        <w:t>利害关系</w:t>
      </w:r>
      <w:r>
        <w:rPr>
          <w:rFonts w:ascii="宋体" w:hAnsi="宋体" w:cs="宋体"/>
          <w:color w:val="auto"/>
          <w:kern w:val="0"/>
          <w:sz w:val="22"/>
          <w:szCs w:val="22"/>
          <w:highlight w:val="none"/>
          <w:u w:val="single"/>
        </w:rPr>
        <w:t xml:space="preserve">（如有，请如实说明）                 </w:t>
      </w:r>
      <w:r>
        <w:rPr>
          <w:rFonts w:ascii="宋体" w:hAnsi="宋体" w:cs="宋体"/>
          <w:color w:val="auto"/>
          <w:kern w:val="0"/>
          <w:sz w:val="22"/>
          <w:szCs w:val="22"/>
          <w:highlight w:val="none"/>
        </w:rPr>
        <w:t>。</w:t>
      </w:r>
    </w:p>
    <w:p w14:paraId="08D1A1B0">
      <w:pPr>
        <w:pStyle w:val="48"/>
        <w:widowControl/>
        <w:tabs>
          <w:tab w:val="left" w:pos="1069"/>
          <w:tab w:val="left" w:pos="2352"/>
        </w:tabs>
        <w:adjustRightInd w:val="0"/>
        <w:snapToGrid w:val="0"/>
        <w:spacing w:line="400" w:lineRule="exact"/>
        <w:ind w:firstLine="470" w:firstLineChars="200"/>
        <w:textAlignment w:val="baseline"/>
        <w:rPr>
          <w:rFonts w:hint="default" w:ascii="宋体" w:hAnsi="宋体" w:cs="宋体"/>
          <w:color w:val="auto"/>
          <w:kern w:val="0"/>
          <w:sz w:val="22"/>
          <w:szCs w:val="22"/>
          <w:highlight w:val="none"/>
        </w:rPr>
      </w:pPr>
      <w:r>
        <w:rPr>
          <w:rFonts w:ascii="宋体" w:hAnsi="宋体" w:cs="宋体"/>
          <w:color w:val="auto"/>
          <w:spacing w:val="6"/>
          <w:sz w:val="22"/>
          <w:szCs w:val="22"/>
          <w:highlight w:val="none"/>
        </w:rPr>
        <w:t>二、</w:t>
      </w:r>
      <w:r>
        <w:rPr>
          <w:rFonts w:ascii="宋体" w:hAnsi="宋体" w:cs="宋体"/>
          <w:color w:val="auto"/>
          <w:kern w:val="0"/>
          <w:sz w:val="22"/>
          <w:szCs w:val="22"/>
          <w:highlight w:val="none"/>
        </w:rPr>
        <w:t>现已清楚知道参加本项目采购活动的其他所有供应商名称，本单位 □与其他所有供应商之间均不存在利害关系 □与</w:t>
      </w:r>
      <w:r>
        <w:rPr>
          <w:rFonts w:ascii="宋体" w:hAnsi="宋体" w:cs="宋体"/>
          <w:color w:val="auto"/>
          <w:kern w:val="0"/>
          <w:sz w:val="22"/>
          <w:szCs w:val="22"/>
          <w:highlight w:val="none"/>
          <w:u w:val="single"/>
        </w:rPr>
        <w:t xml:space="preserve">           （供应商名称）</w:t>
      </w:r>
      <w:r>
        <w:rPr>
          <w:rFonts w:ascii="宋体" w:hAnsi="宋体" w:cs="宋体"/>
          <w:color w:val="auto"/>
          <w:kern w:val="0"/>
          <w:sz w:val="22"/>
          <w:szCs w:val="22"/>
          <w:highlight w:val="none"/>
        </w:rPr>
        <w:t>之间存在下列利害关系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00C349D5">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A.法定代表人或负责人或实际控制人是同一人</w:t>
      </w:r>
    </w:p>
    <w:p w14:paraId="45EAA21B">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B.法定代表人或负责人或实际控制人是夫妻关系</w:t>
      </w:r>
    </w:p>
    <w:p w14:paraId="61D42E18">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C.法定代表人或负责人或实际控制人是直系血亲关系</w:t>
      </w:r>
    </w:p>
    <w:p w14:paraId="65D524A9">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D.法定代表人或负责人或实际控制人存在三代以内旁系血亲关系</w:t>
      </w:r>
    </w:p>
    <w:p w14:paraId="0D9FF36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E.法定代表人或负责人或实际控制人存在近姻亲关系</w:t>
      </w:r>
    </w:p>
    <w:p w14:paraId="5D0D4C3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F.法定代表人或负责人或实际控制人存在股份控制或实际控制关系</w:t>
      </w:r>
    </w:p>
    <w:p w14:paraId="52D762FC">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G.存在共同直接或间接投资设立子公司、联营企业和合营企业情况</w:t>
      </w:r>
    </w:p>
    <w:p w14:paraId="56512257">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z w:val="22"/>
          <w:szCs w:val="22"/>
          <w:highlight w:val="none"/>
        </w:rPr>
      </w:pPr>
      <w:r>
        <w:rPr>
          <w:rFonts w:hint="eastAsia" w:hAnsi="宋体" w:cs="宋体"/>
          <w:color w:val="auto"/>
          <w:kern w:val="0"/>
          <w:sz w:val="22"/>
          <w:szCs w:val="22"/>
          <w:highlight w:val="none"/>
        </w:rPr>
        <w:t xml:space="preserve">  H.存在分级代理或代销关系、同一生产制造商关系、</w:t>
      </w:r>
      <w:r>
        <w:rPr>
          <w:rFonts w:hint="eastAsia" w:hAnsi="宋体" w:cs="宋体"/>
          <w:color w:val="auto"/>
          <w:sz w:val="22"/>
          <w:szCs w:val="22"/>
          <w:highlight w:val="none"/>
        </w:rPr>
        <w:t>管理关系、重要业务（占主营业务收入50%以上）或重要财务往来关系（如融资）等其他实质性控制关系</w:t>
      </w:r>
    </w:p>
    <w:p w14:paraId="05101391">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sz w:val="22"/>
          <w:szCs w:val="22"/>
          <w:highlight w:val="none"/>
        </w:rPr>
        <w:t xml:space="preserve">  I</w:t>
      </w:r>
      <w:r>
        <w:rPr>
          <w:rFonts w:hint="eastAsia" w:hAnsi="宋体" w:cs="宋体"/>
          <w:color w:val="auto"/>
          <w:kern w:val="0"/>
          <w:sz w:val="22"/>
          <w:szCs w:val="22"/>
          <w:highlight w:val="none"/>
        </w:rPr>
        <w:t>.</w:t>
      </w:r>
      <w:r>
        <w:rPr>
          <w:rFonts w:hint="eastAsia" w:hAnsi="宋体" w:cs="宋体"/>
          <w:color w:val="auto"/>
          <w:sz w:val="22"/>
          <w:szCs w:val="22"/>
          <w:highlight w:val="none"/>
        </w:rPr>
        <w:t>其他利害关系情况</w:t>
      </w:r>
      <w:r>
        <w:rPr>
          <w:rFonts w:hint="eastAsia" w:hAnsi="宋体" w:cs="宋体"/>
          <w:color w:val="auto"/>
          <w:sz w:val="22"/>
          <w:szCs w:val="22"/>
          <w:highlight w:val="none"/>
          <w:u w:val="single"/>
        </w:rPr>
        <w:t xml:space="preserve">                              </w:t>
      </w:r>
      <w:r>
        <w:rPr>
          <w:rFonts w:hint="eastAsia" w:hAnsi="宋体" w:cs="宋体"/>
          <w:color w:val="auto"/>
          <w:kern w:val="0"/>
          <w:sz w:val="22"/>
          <w:szCs w:val="22"/>
          <w:highlight w:val="none"/>
        </w:rPr>
        <w:t>。</w:t>
      </w:r>
    </w:p>
    <w:p w14:paraId="4BCC75F8">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sz w:val="22"/>
          <w:szCs w:val="22"/>
          <w:highlight w:val="none"/>
        </w:rPr>
        <w:t>三、现已清楚知道并</w:t>
      </w:r>
      <w:r>
        <w:rPr>
          <w:rFonts w:ascii="宋体" w:hAnsi="宋体" w:cs="宋体"/>
          <w:color w:val="auto"/>
          <w:kern w:val="0"/>
          <w:sz w:val="22"/>
          <w:szCs w:val="22"/>
          <w:highlight w:val="none"/>
        </w:rPr>
        <w:t>严格遵守政府采购法律法规和现场纪律。</w:t>
      </w:r>
    </w:p>
    <w:p w14:paraId="3BE90C3D">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四、我发现</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供应商之间存在或可能存在上述第二条第</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项利害关系。</w:t>
      </w:r>
    </w:p>
    <w:p w14:paraId="133D66C3">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p>
    <w:p w14:paraId="77995C04">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r>
        <w:rPr>
          <w:rFonts w:hint="eastAsia" w:hAnsi="宋体" w:cs="宋体"/>
          <w:color w:val="auto"/>
          <w:sz w:val="22"/>
          <w:szCs w:val="22"/>
          <w:highlight w:val="none"/>
        </w:rPr>
        <w:t xml:space="preserve">                                     供应商代表签名：</w:t>
      </w:r>
    </w:p>
    <w:p w14:paraId="2611D1A4">
      <w:pPr>
        <w:tabs>
          <w:tab w:val="left" w:pos="1069"/>
          <w:tab w:val="left" w:pos="2352"/>
        </w:tabs>
        <w:spacing w:before="317" w:beforeLines="100" w:after="317" w:afterLines="100" w:line="400" w:lineRule="exact"/>
        <w:ind w:left="4928" w:leftChars="2314" w:firstLine="892" w:firstLineChars="400"/>
        <w:rPr>
          <w:rFonts w:ascii="宋体" w:hAnsi="宋体" w:cs="宋体"/>
          <w:color w:val="auto"/>
          <w:sz w:val="22"/>
          <w:highlight w:val="none"/>
        </w:rPr>
      </w:pPr>
      <w:r>
        <w:rPr>
          <w:rFonts w:hint="eastAsia" w:ascii="宋体" w:hAnsi="宋体" w:cs="宋体"/>
          <w:color w:val="auto"/>
          <w:sz w:val="22"/>
          <w:highlight w:val="none"/>
        </w:rPr>
        <w:t>年  月  日</w:t>
      </w:r>
    </w:p>
    <w:p w14:paraId="2F30FC0F">
      <w:pPr>
        <w:pStyle w:val="7"/>
        <w:tabs>
          <w:tab w:val="left" w:pos="1069"/>
          <w:tab w:val="left" w:pos="2352"/>
        </w:tabs>
        <w:spacing w:line="400" w:lineRule="exact"/>
        <w:ind w:left="490" w:hanging="490"/>
        <w:rPr>
          <w:rFonts w:ascii="宋体" w:hAnsi="宋体" w:cs="宋体"/>
          <w:b/>
          <w:bCs/>
          <w:color w:val="auto"/>
          <w:szCs w:val="21"/>
          <w:highlight w:val="none"/>
        </w:rPr>
      </w:pPr>
    </w:p>
    <w:p w14:paraId="1A8D45CA">
      <w:pPr>
        <w:pStyle w:val="12"/>
        <w:tabs>
          <w:tab w:val="left" w:pos="1069"/>
          <w:tab w:val="left" w:pos="2352"/>
        </w:tabs>
        <w:spacing w:line="360" w:lineRule="exact"/>
        <w:jc w:val="left"/>
        <w:rPr>
          <w:rFonts w:hAnsi="宋体" w:cs="宋体"/>
          <w:b/>
          <w:color w:val="auto"/>
          <w:sz w:val="32"/>
          <w:szCs w:val="32"/>
          <w:highlight w:val="none"/>
          <w:lang w:val="zh-CN"/>
        </w:rPr>
      </w:pPr>
      <w:r>
        <w:rPr>
          <w:rFonts w:hint="eastAsia" w:hAnsi="宋体" w:cs="宋体"/>
          <w:color w:val="auto"/>
          <w:sz w:val="22"/>
          <w:szCs w:val="22"/>
          <w:highlight w:val="none"/>
        </w:rPr>
        <w:br w:type="page"/>
      </w:r>
      <w:bookmarkStart w:id="265" w:name="_Toc24860_WPSOffice_Level1"/>
      <w:r>
        <w:rPr>
          <w:rFonts w:hint="eastAsia" w:hAnsi="宋体" w:cs="宋体"/>
          <w:color w:val="auto"/>
          <w:sz w:val="22"/>
          <w:szCs w:val="22"/>
          <w:highlight w:val="none"/>
        </w:rPr>
        <w:t xml:space="preserve">                           </w:t>
      </w:r>
      <w:r>
        <w:rPr>
          <w:rFonts w:hint="eastAsia" w:hAnsi="宋体" w:cs="宋体"/>
          <w:b/>
          <w:color w:val="auto"/>
          <w:sz w:val="32"/>
          <w:szCs w:val="32"/>
          <w:highlight w:val="none"/>
          <w:lang w:val="zh-CN"/>
        </w:rPr>
        <w:t>第</w:t>
      </w:r>
      <w:r>
        <w:rPr>
          <w:rFonts w:hint="eastAsia" w:hAnsi="宋体" w:cs="宋体"/>
          <w:b/>
          <w:color w:val="auto"/>
          <w:sz w:val="32"/>
          <w:szCs w:val="32"/>
          <w:highlight w:val="none"/>
        </w:rPr>
        <w:t>七</w:t>
      </w:r>
      <w:r>
        <w:rPr>
          <w:rFonts w:hint="eastAsia" w:hAnsi="宋体" w:cs="宋体"/>
          <w:b/>
          <w:color w:val="auto"/>
          <w:sz w:val="32"/>
          <w:szCs w:val="32"/>
          <w:highlight w:val="none"/>
          <w:lang w:val="zh-CN"/>
        </w:rPr>
        <w:t>部分</w:t>
      </w:r>
      <w:bookmarkEnd w:id="265"/>
      <w:r>
        <w:rPr>
          <w:rFonts w:hint="eastAsia" w:hAnsi="宋体" w:cs="宋体"/>
          <w:b/>
          <w:color w:val="auto"/>
          <w:sz w:val="32"/>
          <w:szCs w:val="32"/>
          <w:highlight w:val="none"/>
        </w:rPr>
        <w:t>、</w:t>
      </w:r>
      <w:r>
        <w:rPr>
          <w:rFonts w:hint="eastAsia" w:hAnsi="宋体" w:cs="宋体"/>
          <w:b/>
          <w:color w:val="auto"/>
          <w:sz w:val="32"/>
          <w:szCs w:val="32"/>
          <w:highlight w:val="none"/>
          <w:lang w:val="zh-CN"/>
        </w:rPr>
        <w:t>评标办法</w:t>
      </w:r>
    </w:p>
    <w:p w14:paraId="279A301B">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根据《中华人民共和国政府采购法》等有关政府采购法规，结合本次所要采购项目的实际，按照公平、公正、科学、择优的原则选择中标（成交）单位，特制定本评审办法。</w:t>
      </w:r>
    </w:p>
    <w:p w14:paraId="18143FB3">
      <w:pPr>
        <w:tabs>
          <w:tab w:val="left" w:pos="1069"/>
          <w:tab w:val="left" w:pos="2352"/>
        </w:tabs>
        <w:snapToGrid w:val="0"/>
        <w:spacing w:line="380" w:lineRule="exact"/>
        <w:ind w:firstLine="3846" w:firstLineChars="1725"/>
        <w:rPr>
          <w:rFonts w:ascii="宋体" w:hAnsi="宋体" w:cs="宋体"/>
          <w:b/>
          <w:color w:val="auto"/>
          <w:sz w:val="22"/>
          <w:highlight w:val="none"/>
        </w:rPr>
      </w:pPr>
      <w:bookmarkStart w:id="266" w:name="_Toc32552_WPSOffice_Level2"/>
      <w:r>
        <w:rPr>
          <w:rFonts w:hint="eastAsia" w:ascii="宋体" w:hAnsi="宋体" w:cs="宋体"/>
          <w:b/>
          <w:color w:val="auto"/>
          <w:sz w:val="22"/>
          <w:highlight w:val="none"/>
        </w:rPr>
        <w:t>一、总则</w:t>
      </w:r>
      <w:bookmarkEnd w:id="266"/>
    </w:p>
    <w:p w14:paraId="75676496">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遵循公平、公正、民主、科学的原则和诚实、信誉、效率的服务原则。本着科学、严谨的态度，认真进行评审。择优选定提供服务单位，最大限度的保护当事人权益，严格按照竞争性磋商文件的商务、技术要求，对投标（响应）文件进行综合评定，提出优选方案，编写评审报告。评审小组必须严格遵守保密规定，不得泄漏评审的有关情况，不得索贿受贿，不得接受吃请和礼品，不得参加影响公正评审的有关活动。对未中标（成交）单位，评审小组不作任何解释。供应商不得以任何方式干扰采购工作的进行，一经发现其投标（响应）文件将被拒绝。</w:t>
      </w:r>
    </w:p>
    <w:p w14:paraId="6ED9CF84">
      <w:pPr>
        <w:tabs>
          <w:tab w:val="left" w:pos="1069"/>
          <w:tab w:val="left" w:pos="2352"/>
        </w:tabs>
        <w:snapToGrid w:val="0"/>
        <w:spacing w:line="380" w:lineRule="exact"/>
        <w:ind w:firstLine="3846" w:firstLineChars="1725"/>
        <w:rPr>
          <w:rFonts w:ascii="宋体" w:hAnsi="宋体" w:cs="宋体"/>
          <w:color w:val="auto"/>
          <w:sz w:val="22"/>
          <w:highlight w:val="none"/>
        </w:rPr>
      </w:pPr>
      <w:bookmarkStart w:id="267" w:name="_Toc15399_WPSOffice_Level2"/>
      <w:r>
        <w:rPr>
          <w:rFonts w:hint="eastAsia" w:ascii="宋体" w:hAnsi="宋体" w:cs="宋体"/>
          <w:b/>
          <w:color w:val="auto"/>
          <w:sz w:val="22"/>
          <w:highlight w:val="none"/>
        </w:rPr>
        <w:t>二、评审组织</w:t>
      </w:r>
      <w:bookmarkEnd w:id="267"/>
    </w:p>
    <w:p w14:paraId="7B289710">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评审工作由采购人依法组建的评审小组负责，评审小组由采购人代表以及评审专家库中随机抽取的有关技术、经济专家共同组成。评审全过程由采购管理部门全程监督。</w:t>
      </w:r>
    </w:p>
    <w:p w14:paraId="36C5CAC6">
      <w:pPr>
        <w:tabs>
          <w:tab w:val="left" w:pos="1069"/>
          <w:tab w:val="left" w:pos="2352"/>
        </w:tabs>
        <w:snapToGrid w:val="0"/>
        <w:spacing w:line="380" w:lineRule="exact"/>
        <w:ind w:firstLine="1774" w:firstLineChars="796"/>
        <w:rPr>
          <w:rFonts w:ascii="宋体" w:hAnsi="宋体" w:cs="宋体"/>
          <w:color w:val="auto"/>
          <w:sz w:val="22"/>
          <w:highlight w:val="none"/>
        </w:rPr>
      </w:pPr>
      <w:bookmarkStart w:id="268" w:name="_Toc7010_WPSOffice_Level2"/>
      <w:r>
        <w:rPr>
          <w:rFonts w:hint="eastAsia" w:ascii="宋体" w:hAnsi="宋体" w:cs="宋体"/>
          <w:b/>
          <w:color w:val="auto"/>
          <w:sz w:val="22"/>
          <w:highlight w:val="none"/>
        </w:rPr>
        <w:t>三、投标（响应）文件递交截止、磋商程序、磋商原则和方式</w:t>
      </w:r>
      <w:bookmarkEnd w:id="268"/>
    </w:p>
    <w:p w14:paraId="3082D8F0">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1、投标（响应）文件递交截止</w:t>
      </w:r>
    </w:p>
    <w:p w14:paraId="7F606BEB">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投标供应商须按竞争性磋商文件规定的时间在线递交投标（响应）文件。</w:t>
      </w:r>
    </w:p>
    <w:p w14:paraId="4526496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2、本次采购是根据竞争性磋商采购方式进行，各供应商首次报价不公开。</w:t>
      </w:r>
    </w:p>
    <w:p w14:paraId="161DC0D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2.1 如评审小组认为竞争性磋商文件能够详细列明采购标的的技术、服务要求的，评审结束后，评审小组可以直接对供应商进行打分评价。</w:t>
      </w:r>
    </w:p>
    <w:p w14:paraId="3D89EF2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2.2如评审小组认为需要修改竞争性磋商文件的，在磋商过程中，评审小组可以根据竞争性磋商文件和磋商情况实质性变动采购需求中的技术、服务要求以及合同草案条款，但不得变动竞争性磋商文件中的其他内容。实质性变动的内容，须经采购人代表确认。</w:t>
      </w:r>
    </w:p>
    <w:p w14:paraId="472842EE">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对竞争性磋商文件作出的实质性变动是竞争性磋商文件的有效组成部分，评审小组应当及时以书面形式同时通知所有参加磋商的供应商。</w:t>
      </w:r>
    </w:p>
    <w:p w14:paraId="36542438">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供应商应当按照竞争性磋商文件的变动情况和评审小组的要求重新提交投标（响应）文件，并由其法定代表人或授权代表签字或者加盖公章。由授权代表签字的，应当附法定代表人授权书。供应商为自然人的，应当由本人签字并附身份证明。</w:t>
      </w:r>
    </w:p>
    <w:p w14:paraId="6AFACFB8">
      <w:pPr>
        <w:tabs>
          <w:tab w:val="left" w:pos="1069"/>
          <w:tab w:val="left" w:pos="2352"/>
        </w:tabs>
        <w:adjustRightInd w:val="0"/>
        <w:spacing w:line="380" w:lineRule="exact"/>
        <w:ind w:firstLine="420"/>
        <w:rPr>
          <w:rFonts w:ascii="宋体" w:hAnsi="宋体" w:cs="宋体"/>
          <w:color w:val="auto"/>
          <w:sz w:val="22"/>
          <w:highlight w:val="none"/>
        </w:rPr>
      </w:pPr>
      <w:r>
        <w:rPr>
          <w:rFonts w:hint="eastAsia" w:ascii="宋体" w:hAnsi="宋体" w:cs="宋体"/>
          <w:color w:val="auto"/>
          <w:sz w:val="22"/>
          <w:highlight w:val="none"/>
        </w:rPr>
        <w:t>已提交投标（响应）文件的供应商，在提交最终报价之前，可以根据磋商情况退出磋商。</w:t>
      </w:r>
    </w:p>
    <w:p w14:paraId="3E385625">
      <w:pPr>
        <w:pStyle w:val="12"/>
        <w:tabs>
          <w:tab w:val="left" w:pos="1069"/>
          <w:tab w:val="left" w:pos="2352"/>
        </w:tabs>
        <w:adjustRightInd w:val="0"/>
        <w:snapToGrid w:val="0"/>
        <w:spacing w:line="380" w:lineRule="exact"/>
        <w:ind w:firstLine="450"/>
        <w:rPr>
          <w:rFonts w:hAnsi="宋体" w:cs="宋体"/>
          <w:color w:val="auto"/>
          <w:sz w:val="22"/>
          <w:highlight w:val="none"/>
        </w:rPr>
      </w:pPr>
      <w:r>
        <w:rPr>
          <w:rFonts w:hint="eastAsia" w:hAnsi="宋体" w:cs="宋体"/>
          <w:color w:val="auto"/>
          <w:sz w:val="22"/>
          <w:highlight w:val="none"/>
        </w:rPr>
        <w:t>2.3 磋商的顺序，按供应商签到的逆顺序进行。开展磋商，评审小组所有成员集中与单一供应商（供应商的法定代表人或法定代表人授权代表须在线参加）分别进行磋商，并要求供应商提交最终报价。在竞争性磋商文件未做任何调整的情况下，参与磋商的供应商如有出现最终报价超过投标（响应）文件中报价的，则该供应商的报价按无效处理。</w:t>
      </w:r>
    </w:p>
    <w:p w14:paraId="7CE9E47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3、评审原则和方法</w:t>
      </w:r>
    </w:p>
    <w:p w14:paraId="73EC8E7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3.1 评审小组负责审查投标（响应）文件是否符合竞争性磋商文件的要求，并作出评价。评审小组认为必要时，可向供应商进行质疑。评审小组有权决定全部或部分供应商投标（响应）文件无效。</w:t>
      </w:r>
    </w:p>
    <w:p w14:paraId="41647F0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3.2 评审小组将综合分析合格供应商的各项指标，而不是以单项指标的优劣评选出成交的供应商。</w:t>
      </w:r>
    </w:p>
    <w:p w14:paraId="3A57A3A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3.3 经磋商确定最终采购需求和提交最终报价的供应商后，由评审小组采用综合评分法对提交最终报价的供应商的投标（响应）文件和最终报价进行综合评分。如竞争性磋商文件所列采购内容明确不需要修改的或供应商投标（响应）文件清楚明确不需要澄清的，可以不进行磋商环节，直接要求供应商进行最终报价，进行综合评分。</w:t>
      </w:r>
    </w:p>
    <w:p w14:paraId="59CAF64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本次评审采用综合评分法，评审小组根据竞争性磋商文件制定的评审办法对供应商进行评审排序，将综合得分第一的供应商向采购人推荐其为中标（成交）供应商。</w:t>
      </w:r>
    </w:p>
    <w:p w14:paraId="47C03C85">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4、投标（响应）文件的澄清</w:t>
      </w:r>
    </w:p>
    <w:p w14:paraId="3A5B9D88">
      <w:pPr>
        <w:pStyle w:val="12"/>
        <w:tabs>
          <w:tab w:val="left" w:pos="1069"/>
          <w:tab w:val="left" w:pos="2352"/>
        </w:tabs>
        <w:adjustRightInd w:val="0"/>
        <w:snapToGrid w:val="0"/>
        <w:spacing w:line="380" w:lineRule="exact"/>
        <w:ind w:firstLine="223" w:firstLineChars="100"/>
        <w:rPr>
          <w:rFonts w:hAnsi="宋体" w:cs="宋体"/>
          <w:b/>
          <w:color w:val="auto"/>
          <w:sz w:val="22"/>
          <w:highlight w:val="none"/>
        </w:rPr>
      </w:pPr>
      <w:r>
        <w:rPr>
          <w:rFonts w:hint="eastAsia" w:hAnsi="宋体" w:cs="宋体"/>
          <w:color w:val="auto"/>
          <w:sz w:val="22"/>
          <w:highlight w:val="none"/>
        </w:rPr>
        <w:t>为有利于对投标（响应）文件的评议，必要时采购人可要求供应商对投标（响应）文件进行澄清，并作出答复。答复须有供应商授权代表签字并作为投标（响应）文件内容的一部分。</w:t>
      </w:r>
    </w:p>
    <w:p w14:paraId="1CBDD638">
      <w:pPr>
        <w:tabs>
          <w:tab w:val="left" w:pos="1069"/>
          <w:tab w:val="left" w:pos="2352"/>
        </w:tabs>
        <w:rPr>
          <w:color w:val="auto"/>
          <w:highlight w:val="none"/>
        </w:rPr>
      </w:pPr>
      <w:bookmarkStart w:id="269" w:name="_Toc28287_WPSOffice_Level2"/>
    </w:p>
    <w:p w14:paraId="1BB29362">
      <w:pPr>
        <w:pStyle w:val="12"/>
        <w:numPr>
          <w:ilvl w:val="0"/>
          <w:numId w:val="8"/>
        </w:numPr>
        <w:tabs>
          <w:tab w:val="left" w:pos="1069"/>
          <w:tab w:val="left" w:pos="2352"/>
        </w:tabs>
        <w:adjustRightInd w:val="0"/>
        <w:snapToGrid w:val="0"/>
        <w:spacing w:line="380" w:lineRule="exact"/>
        <w:ind w:firstLine="446" w:firstLineChars="200"/>
        <w:jc w:val="center"/>
        <w:rPr>
          <w:rFonts w:hAnsi="宋体" w:cs="宋体"/>
          <w:b/>
          <w:bCs/>
          <w:color w:val="auto"/>
          <w:sz w:val="22"/>
          <w:highlight w:val="none"/>
        </w:rPr>
      </w:pPr>
      <w:r>
        <w:rPr>
          <w:rFonts w:hint="eastAsia" w:hAnsi="宋体" w:cs="宋体"/>
          <w:b/>
          <w:bCs/>
          <w:color w:val="auto"/>
          <w:sz w:val="22"/>
          <w:highlight w:val="none"/>
        </w:rPr>
        <w:t>评审细则</w:t>
      </w:r>
      <w:bookmarkEnd w:id="269"/>
      <w:bookmarkStart w:id="270" w:name="_Toc20707_WPSOffice_Level3"/>
    </w:p>
    <w:bookmarkEnd w:id="270"/>
    <w:p w14:paraId="2FC60264">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（一）报价评分（</w:t>
      </w:r>
      <w:r>
        <w:rPr>
          <w:rFonts w:hint="eastAsia" w:ascii="宋体" w:hAnsi="宋体"/>
          <w:b/>
          <w:bCs/>
          <w:color w:val="auto"/>
          <w:sz w:val="22"/>
          <w:highlight w:val="none"/>
          <w:lang w:val="en-US" w:eastAsia="zh-CN"/>
        </w:rPr>
        <w:t>3</w:t>
      </w:r>
      <w:r>
        <w:rPr>
          <w:rFonts w:hint="eastAsia" w:ascii="宋体" w:hAnsi="宋体"/>
          <w:b/>
          <w:bCs/>
          <w:color w:val="auto"/>
          <w:sz w:val="22"/>
          <w:highlight w:val="none"/>
        </w:rPr>
        <w:t>0分）</w:t>
      </w:r>
    </w:p>
    <w:p w14:paraId="71550FB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1.每亩年租金收益</w:t>
      </w:r>
    </w:p>
    <w:p w14:paraId="459E6D0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B8C0E2D">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每亩年租金收益报价得分=（投标报价/评标基准价）×</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3B0B60B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w:t>
      </w: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部分下浮率</w:t>
      </w:r>
    </w:p>
    <w:p w14:paraId="30166EE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以满足竞争性磋商文件要求且最终报价（1-下浮率%）最低的有效供应商的价格为磋商基准价，满分为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9BC7221">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实施部分下浮率报价得分=（评标基准价/（1-下浮率%））×</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7058397C">
      <w:pPr>
        <w:pStyle w:val="12"/>
        <w:adjustRightInd w:val="0"/>
        <w:snapToGrid w:val="0"/>
        <w:spacing w:line="380" w:lineRule="exact"/>
        <w:ind w:firstLine="450"/>
        <w:rPr>
          <w:rFonts w:hAnsi="宋体" w:cs="Arial"/>
          <w:color w:val="auto"/>
          <w:sz w:val="22"/>
          <w:highlight w:val="none"/>
          <w:u w:val="single"/>
        </w:rPr>
      </w:pPr>
      <w:r>
        <w:rPr>
          <w:rFonts w:hint="eastAsia" w:ascii="宋体" w:hAnsi="宋体" w:eastAsia="宋体" w:cs="Arial"/>
          <w:color w:val="auto"/>
          <w:sz w:val="22"/>
          <w:szCs w:val="22"/>
          <w:highlight w:val="none"/>
          <w:lang w:val="en-US" w:eastAsia="zh-CN"/>
        </w:rPr>
        <w:t>3.</w:t>
      </w:r>
      <w:r>
        <w:rPr>
          <w:rFonts w:hint="eastAsia" w:ascii="宋体" w:hAnsi="宋体" w:eastAsia="宋体" w:cs="Arial"/>
          <w:color w:val="auto"/>
          <w:sz w:val="22"/>
          <w:szCs w:val="22"/>
          <w:highlight w:val="none"/>
        </w:rPr>
        <w:t>本项目参照《政府采购促进中小企业发展管理办法》（财库﹝2020﹞46 号）；财政部、司法部《关于政府采购支持监狱企业发展有关问题的通知》（财库〔2014〕68号）；《关于进一步加大政府采购支持中小</w:t>
      </w:r>
      <w:r>
        <w:rPr>
          <w:rFonts w:hint="eastAsia" w:hAnsi="宋体" w:cs="Arial"/>
          <w:color w:val="auto"/>
          <w:sz w:val="22"/>
          <w:szCs w:val="22"/>
          <w:highlight w:val="none"/>
        </w:rPr>
        <w:t>企业力度的通知》（财库〔2022〕19号）；《浙江省财政厅关于进一步发挥政府采购政策 功能全力推动经济稳进提质的通知》（浙财采监〔2022〕3号）；《关于进一步加大政府采购 支持中小企业力度 助力扎实稳住经济 的通知》（浙财采监〔2022〕8号）的规定：对小微企业（含监狱企业、残疾人福利性单位）投标产品给予10%的评标价格扣除。（说明：标价格折扣计算以元人民币为单位，保留两位小数，第三位四舍五入进位。）</w:t>
      </w:r>
      <w:r>
        <w:rPr>
          <w:rFonts w:hint="eastAsia" w:hAnsi="宋体" w:cs="宋体"/>
          <w:color w:val="auto"/>
          <w:sz w:val="22"/>
          <w:highlight w:val="none"/>
        </w:rPr>
        <w:t>。</w:t>
      </w:r>
    </w:p>
    <w:p w14:paraId="61AE3B7B">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（二）</w:t>
      </w:r>
      <w:r>
        <w:rPr>
          <w:rFonts w:hint="eastAsia" w:ascii="宋体" w:hAnsi="宋体"/>
          <w:b/>
          <w:bCs/>
          <w:color w:val="auto"/>
          <w:sz w:val="22"/>
          <w:highlight w:val="none"/>
          <w:lang w:val="en-US" w:eastAsia="zh-CN"/>
        </w:rPr>
        <w:t>商务技术</w:t>
      </w:r>
      <w:r>
        <w:rPr>
          <w:rFonts w:hint="eastAsia" w:ascii="宋体" w:hAnsi="宋体"/>
          <w:b/>
          <w:bCs/>
          <w:color w:val="auto"/>
          <w:sz w:val="22"/>
          <w:highlight w:val="none"/>
        </w:rPr>
        <w:t>评分（</w:t>
      </w:r>
      <w:r>
        <w:rPr>
          <w:rFonts w:hint="eastAsia" w:ascii="宋体" w:hAnsi="宋体"/>
          <w:b/>
          <w:bCs/>
          <w:color w:val="auto"/>
          <w:sz w:val="22"/>
          <w:highlight w:val="none"/>
          <w:lang w:val="en-US" w:eastAsia="zh-CN"/>
        </w:rPr>
        <w:t>7</w:t>
      </w:r>
      <w:r>
        <w:rPr>
          <w:rFonts w:hint="eastAsia" w:ascii="宋体" w:hAnsi="宋体"/>
          <w:b/>
          <w:bCs/>
          <w:color w:val="auto"/>
          <w:sz w:val="22"/>
          <w:highlight w:val="none"/>
        </w:rPr>
        <w:t>0分）</w:t>
      </w:r>
    </w:p>
    <w:tbl>
      <w:tblPr>
        <w:tblStyle w:val="32"/>
        <w:tblpPr w:leftFromText="180" w:rightFromText="180" w:vertAnchor="text" w:horzAnchor="page" w:tblpX="1586" w:tblpY="626"/>
        <w:tblOverlap w:val="never"/>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321"/>
        <w:gridCol w:w="6461"/>
        <w:gridCol w:w="1097"/>
      </w:tblGrid>
      <w:tr w14:paraId="33CD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06DD5CC9">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序号</w:t>
            </w:r>
          </w:p>
        </w:tc>
        <w:tc>
          <w:tcPr>
            <w:tcW w:w="1321" w:type="dxa"/>
            <w:vAlign w:val="center"/>
          </w:tcPr>
          <w:p w14:paraId="5BCCAB11">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评审内容</w:t>
            </w:r>
          </w:p>
        </w:tc>
        <w:tc>
          <w:tcPr>
            <w:tcW w:w="6461" w:type="dxa"/>
            <w:vAlign w:val="center"/>
          </w:tcPr>
          <w:p w14:paraId="28E43C49">
            <w:pPr>
              <w:keepNext w:val="0"/>
              <w:keepLines w:val="0"/>
              <w:pageBreakBefore w:val="0"/>
              <w:widowControl/>
              <w:kinsoku/>
              <w:wordWrap/>
              <w:overflowPunct/>
              <w:topLinePunct w:val="0"/>
              <w:autoSpaceDE/>
              <w:autoSpaceDN/>
              <w:bidi w:val="0"/>
              <w:adjustRightInd/>
              <w:snapToGrid w:val="0"/>
              <w:spacing w:line="340" w:lineRule="exact"/>
              <w:ind w:firstLine="446" w:firstLineChars="200"/>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评分标准</w:t>
            </w:r>
          </w:p>
        </w:tc>
        <w:tc>
          <w:tcPr>
            <w:tcW w:w="1097" w:type="dxa"/>
            <w:vAlign w:val="center"/>
          </w:tcPr>
          <w:p w14:paraId="4FEAE717">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分值</w:t>
            </w:r>
          </w:p>
        </w:tc>
      </w:tr>
      <w:tr w14:paraId="67A9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61F56B0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1321" w:type="dxa"/>
            <w:vAlign w:val="center"/>
          </w:tcPr>
          <w:p w14:paraId="202B529A">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6461" w:type="dxa"/>
            <w:vAlign w:val="center"/>
          </w:tcPr>
          <w:p w14:paraId="362C9949">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（一）项目运营部分的评分（35分）</w:t>
            </w:r>
          </w:p>
        </w:tc>
        <w:tc>
          <w:tcPr>
            <w:tcW w:w="1097" w:type="dxa"/>
            <w:vAlign w:val="center"/>
          </w:tcPr>
          <w:p w14:paraId="4B30CE0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r>
      <w:tr w14:paraId="4746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666" w:type="dxa"/>
            <w:vAlign w:val="center"/>
          </w:tcPr>
          <w:p w14:paraId="6A1774DD">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ABA462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类似项目业绩</w:t>
            </w:r>
          </w:p>
        </w:tc>
        <w:tc>
          <w:tcPr>
            <w:tcW w:w="6461" w:type="dxa"/>
            <w:vAlign w:val="center"/>
          </w:tcPr>
          <w:p w14:paraId="1C4D2FE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根据投标人承接过的类似项目业绩进行打分，每个业绩得1分，最高得2分。（提供业绩合同扫描件并加盖公章，否则不得分）</w:t>
            </w:r>
          </w:p>
        </w:tc>
        <w:tc>
          <w:tcPr>
            <w:tcW w:w="1097" w:type="dxa"/>
            <w:vAlign w:val="center"/>
          </w:tcPr>
          <w:p w14:paraId="1BE5657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0-2分</w:t>
            </w:r>
          </w:p>
        </w:tc>
      </w:tr>
      <w:tr w14:paraId="1E84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666" w:type="dxa"/>
            <w:vAlign w:val="center"/>
          </w:tcPr>
          <w:p w14:paraId="3CC16871">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6A7C6C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拟投入设备情况</w:t>
            </w:r>
          </w:p>
        </w:tc>
        <w:tc>
          <w:tcPr>
            <w:tcW w:w="6461" w:type="dxa"/>
            <w:shd w:val="clear" w:color="auto" w:fill="auto"/>
            <w:vAlign w:val="center"/>
          </w:tcPr>
          <w:p w14:paraId="407CD0E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zh-CN" w:eastAsia="zh-CN"/>
              </w:rPr>
            </w:pPr>
            <w:r>
              <w:rPr>
                <w:rFonts w:hint="eastAsia" w:ascii="宋体" w:hAnsi="宋体" w:eastAsia="宋体" w:cs="宋体"/>
                <w:b w:val="0"/>
                <w:bCs/>
                <w:color w:val="auto"/>
                <w:kern w:val="0"/>
                <w:sz w:val="22"/>
                <w:szCs w:val="22"/>
                <w:highlight w:val="none"/>
                <w:lang w:val="zh-CN" w:eastAsia="zh-CN"/>
              </w:rPr>
              <w:t>根据投标人拟投入的设备的齐全性、充足性，由评委综合</w:t>
            </w:r>
            <w:r>
              <w:rPr>
                <w:rFonts w:hint="eastAsia" w:ascii="宋体" w:hAnsi="宋体" w:eastAsia="宋体" w:cs="宋体"/>
                <w:b w:val="0"/>
                <w:bCs/>
                <w:color w:val="auto"/>
                <w:kern w:val="0"/>
                <w:sz w:val="22"/>
                <w:szCs w:val="22"/>
                <w:highlight w:val="none"/>
                <w:lang w:val="en-US" w:eastAsia="zh-CN"/>
              </w:rPr>
              <w:t>评分，在</w:t>
            </w:r>
            <w:r>
              <w:rPr>
                <w:rFonts w:hint="eastAsia" w:ascii="宋体" w:hAnsi="宋体" w:eastAsia="宋体" w:cs="宋体"/>
                <w:b w:val="0"/>
                <w:bCs/>
                <w:color w:val="auto"/>
                <w:kern w:val="0"/>
                <w:sz w:val="22"/>
                <w:szCs w:val="22"/>
                <w:highlight w:val="none"/>
                <w:lang w:val="zh-CN" w:eastAsia="zh-CN"/>
              </w:rPr>
              <w:t>分值范围内打分。</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分值：3，2，1，0）</w:t>
            </w:r>
          </w:p>
          <w:p w14:paraId="510CBCC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zh-CN" w:eastAsia="zh-CN"/>
              </w:rPr>
              <w:t>（</w:t>
            </w:r>
            <w:r>
              <w:rPr>
                <w:rFonts w:hint="eastAsia" w:ascii="宋体" w:hAnsi="宋体" w:eastAsia="宋体" w:cs="宋体"/>
                <w:b w:val="0"/>
                <w:bCs/>
                <w:color w:val="auto"/>
                <w:kern w:val="0"/>
                <w:sz w:val="22"/>
                <w:szCs w:val="22"/>
                <w:highlight w:val="none"/>
                <w:lang w:val="en-US" w:eastAsia="zh-CN"/>
              </w:rPr>
              <w:t>设备自有的：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企业购买</w:t>
            </w:r>
            <w:r>
              <w:rPr>
                <w:rFonts w:hint="eastAsia" w:ascii="宋体" w:hAnsi="宋体" w:eastAsia="宋体" w:cs="宋体"/>
                <w:b w:val="0"/>
                <w:bCs/>
                <w:color w:val="auto"/>
                <w:kern w:val="0"/>
                <w:sz w:val="22"/>
                <w:szCs w:val="22"/>
                <w:highlight w:val="none"/>
                <w:lang w:val="zh-CN" w:eastAsia="zh-CN"/>
              </w:rPr>
              <w:t>发票扫描件，</w:t>
            </w:r>
            <w:r>
              <w:rPr>
                <w:rFonts w:hint="eastAsia" w:ascii="宋体" w:hAnsi="宋体" w:eastAsia="宋体" w:cs="宋体"/>
                <w:b w:val="0"/>
                <w:bCs/>
                <w:color w:val="auto"/>
                <w:kern w:val="0"/>
                <w:sz w:val="22"/>
                <w:szCs w:val="22"/>
                <w:highlight w:val="none"/>
                <w:lang w:val="en-US" w:eastAsia="zh-CN"/>
              </w:rPr>
              <w:t>设备租赁的：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租赁合同</w:t>
            </w:r>
            <w:r>
              <w:rPr>
                <w:rFonts w:hint="eastAsia" w:ascii="宋体" w:hAnsi="宋体" w:eastAsia="宋体" w:cs="宋体"/>
                <w:b w:val="0"/>
                <w:bCs/>
                <w:color w:val="auto"/>
                <w:kern w:val="0"/>
                <w:sz w:val="22"/>
                <w:szCs w:val="22"/>
                <w:highlight w:val="none"/>
                <w:lang w:val="zh-CN" w:eastAsia="zh-CN"/>
              </w:rPr>
              <w:t>扫描件否则不得分。）</w:t>
            </w:r>
          </w:p>
        </w:tc>
        <w:tc>
          <w:tcPr>
            <w:tcW w:w="1097" w:type="dxa"/>
            <w:shd w:val="clear" w:color="auto" w:fill="auto"/>
            <w:vAlign w:val="center"/>
          </w:tcPr>
          <w:p w14:paraId="2D5C5D30">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3</w:t>
            </w:r>
            <w:r>
              <w:rPr>
                <w:rFonts w:hint="eastAsia" w:ascii="宋体" w:hAnsi="宋体" w:eastAsia="宋体" w:cs="宋体"/>
                <w:b w:val="0"/>
                <w:bCs/>
                <w:color w:val="auto"/>
                <w:kern w:val="0"/>
                <w:sz w:val="22"/>
                <w:szCs w:val="22"/>
                <w:highlight w:val="none"/>
                <w:lang w:val="en-US" w:eastAsia="zh-CN"/>
              </w:rPr>
              <w:t>分</w:t>
            </w:r>
          </w:p>
        </w:tc>
      </w:tr>
      <w:tr w14:paraId="78E0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66" w:type="dxa"/>
            <w:vAlign w:val="center"/>
          </w:tcPr>
          <w:p w14:paraId="3749C536">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7A770AA7">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对项目的理解及重难点</w:t>
            </w:r>
          </w:p>
        </w:tc>
        <w:tc>
          <w:tcPr>
            <w:tcW w:w="6461" w:type="dxa"/>
            <w:vAlign w:val="center"/>
          </w:tcPr>
          <w:p w14:paraId="1719011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投标人本项目的现状了解、需求的理解程度，是否全面、透彻，以及针对本项目的重点、难点进行分析及提出相应解决措施，由评委在分值范围内打分。（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1447E135">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2860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666" w:type="dxa"/>
            <w:vMerge w:val="restart"/>
            <w:vAlign w:val="center"/>
          </w:tcPr>
          <w:p w14:paraId="7CF99FA0">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restart"/>
            <w:vAlign w:val="center"/>
          </w:tcPr>
          <w:p w14:paraId="11B402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实施方案</w:t>
            </w:r>
          </w:p>
          <w:p w14:paraId="26E51246">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BB80BFB">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总体项目运营管理思路、方向等，根据方案合理性、科学性、可行性，是否贴合项目需求综合打分。（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103391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48BE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66" w:type="dxa"/>
            <w:vMerge w:val="continue"/>
            <w:vAlign w:val="center"/>
          </w:tcPr>
          <w:p w14:paraId="7BC0B96E">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27B528BC">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12034A9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改造后运营、耕种方案，根据方案合理性、科学性、可行性，是否贴合项目需求综合打分。（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1602A0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1EE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6" w:type="dxa"/>
            <w:vMerge w:val="continue"/>
            <w:vAlign w:val="center"/>
          </w:tcPr>
          <w:p w14:paraId="6477223B">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149CCE94">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shd w:val="clear" w:color="auto" w:fill="auto"/>
            <w:vAlign w:val="center"/>
          </w:tcPr>
          <w:p w14:paraId="3822C70D">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年收益保障承诺等，根据方案合理性、科学性、可行性，是否贴合项目需求综合打分。（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6988CF6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2DD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666" w:type="dxa"/>
            <w:shd w:val="clear" w:color="auto" w:fill="auto"/>
            <w:vAlign w:val="center"/>
          </w:tcPr>
          <w:p w14:paraId="1F8E435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6E375F9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投标人陈述和答辩</w:t>
            </w:r>
          </w:p>
        </w:tc>
        <w:tc>
          <w:tcPr>
            <w:tcW w:w="6461" w:type="dxa"/>
            <w:shd w:val="clear" w:color="auto" w:fill="auto"/>
            <w:vAlign w:val="center"/>
          </w:tcPr>
          <w:p w14:paraId="472379A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投标人针对运营方案内容进行综合性陈述、讲解（限时10分钟），并应对专家的提问，根据其讲解内容合理性、科学性、可行性，是否贴合项目需求综合打分。（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eastAsia="宋体" w:cs="宋体"/>
                <w:b w:val="0"/>
                <w:bCs/>
                <w:color w:val="auto"/>
                <w:kern w:val="0"/>
                <w:sz w:val="22"/>
                <w:szCs w:val="22"/>
                <w:highlight w:val="none"/>
                <w:lang w:val="en-US" w:eastAsia="zh-CN"/>
              </w:rPr>
              <w:t>注：需到本项目评标现场[泰顺县公共资源交易中心5楼评标室（温州市泰顺县罗阳镇新城大道123号）]进行现场讲解，须提供法定代表人授权书，否则不得分。</w:t>
            </w:r>
          </w:p>
        </w:tc>
        <w:tc>
          <w:tcPr>
            <w:tcW w:w="1097" w:type="dxa"/>
            <w:shd w:val="clear" w:color="auto" w:fill="auto"/>
            <w:vAlign w:val="center"/>
          </w:tcPr>
          <w:p w14:paraId="6EF8EC0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0B8A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66" w:type="dxa"/>
            <w:shd w:val="clear" w:color="auto" w:fill="auto"/>
            <w:vAlign w:val="center"/>
          </w:tcPr>
          <w:p w14:paraId="6E171DD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B0CAF4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服务承诺</w:t>
            </w:r>
          </w:p>
        </w:tc>
        <w:tc>
          <w:tcPr>
            <w:tcW w:w="6461" w:type="dxa"/>
            <w:shd w:val="clear" w:color="auto" w:fill="auto"/>
            <w:vAlign w:val="center"/>
          </w:tcPr>
          <w:p w14:paraId="26FA71B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投标供应商针对本项目服务承诺</w:t>
            </w:r>
            <w:r>
              <w:rPr>
                <w:rFonts w:hint="eastAsia" w:ascii="宋体" w:hAnsi="宋体" w:cs="宋体"/>
                <w:b w:val="0"/>
                <w:bCs/>
                <w:color w:val="auto"/>
                <w:kern w:val="0"/>
                <w:sz w:val="22"/>
                <w:szCs w:val="22"/>
                <w:highlight w:val="none"/>
                <w:lang w:val="en-US" w:eastAsia="zh-CN"/>
              </w:rPr>
              <w:t>，针对</w:t>
            </w:r>
            <w:r>
              <w:rPr>
                <w:rFonts w:hint="eastAsia" w:ascii="宋体" w:hAnsi="宋体" w:eastAsia="宋体" w:cs="宋体"/>
                <w:b w:val="0"/>
                <w:bCs/>
                <w:color w:val="auto"/>
                <w:kern w:val="0"/>
                <w:sz w:val="22"/>
                <w:szCs w:val="22"/>
                <w:highlight w:val="none"/>
                <w:lang w:val="en-US" w:eastAsia="zh-CN"/>
              </w:rPr>
              <w:t>方案</w:t>
            </w:r>
            <w:r>
              <w:rPr>
                <w:rFonts w:hint="eastAsia" w:ascii="宋体" w:hAnsi="宋体" w:cs="宋体"/>
                <w:b w:val="0"/>
                <w:bCs/>
                <w:color w:val="auto"/>
                <w:kern w:val="0"/>
                <w:sz w:val="22"/>
                <w:szCs w:val="22"/>
                <w:highlight w:val="none"/>
                <w:lang w:val="en-US" w:eastAsia="zh-CN"/>
              </w:rPr>
              <w:t>是否</w:t>
            </w:r>
            <w:r>
              <w:rPr>
                <w:rFonts w:hint="eastAsia" w:ascii="宋体" w:hAnsi="宋体" w:eastAsia="宋体" w:cs="宋体"/>
                <w:b w:val="0"/>
                <w:bCs/>
                <w:color w:val="auto"/>
                <w:kern w:val="0"/>
                <w:sz w:val="22"/>
                <w:szCs w:val="22"/>
                <w:highlight w:val="none"/>
                <w:lang w:val="en-US" w:eastAsia="zh-CN"/>
              </w:rPr>
              <w:t>完善合理、</w:t>
            </w:r>
            <w:r>
              <w:rPr>
                <w:rFonts w:hint="eastAsia" w:ascii="宋体" w:hAnsi="宋体" w:cs="宋体"/>
                <w:b w:val="0"/>
                <w:bCs/>
                <w:color w:val="auto"/>
                <w:kern w:val="0"/>
                <w:sz w:val="22"/>
                <w:szCs w:val="22"/>
                <w:highlight w:val="none"/>
                <w:lang w:val="en-US" w:eastAsia="zh-CN"/>
              </w:rPr>
              <w:t>有</w:t>
            </w:r>
            <w:r>
              <w:rPr>
                <w:rFonts w:hint="eastAsia" w:ascii="宋体" w:hAnsi="宋体" w:eastAsia="宋体" w:cs="宋体"/>
                <w:b w:val="0"/>
                <w:bCs/>
                <w:color w:val="auto"/>
                <w:kern w:val="0"/>
                <w:sz w:val="22"/>
                <w:szCs w:val="22"/>
                <w:highlight w:val="none"/>
                <w:lang w:val="en-US" w:eastAsia="zh-CN"/>
              </w:rPr>
              <w:t>针对性强、切实可行</w:t>
            </w:r>
            <w:r>
              <w:rPr>
                <w:rFonts w:hint="eastAsia" w:ascii="宋体" w:hAnsi="宋体" w:cs="宋体"/>
                <w:b w:val="0"/>
                <w:bCs/>
                <w:color w:val="auto"/>
                <w:kern w:val="0"/>
                <w:sz w:val="22"/>
                <w:szCs w:val="22"/>
                <w:highlight w:val="none"/>
                <w:lang w:val="en-US" w:eastAsia="zh-CN"/>
              </w:rPr>
              <w:t>，贴合项目需求情况综合打分</w:t>
            </w:r>
            <w:r>
              <w:rPr>
                <w:rFonts w:hint="eastAsia" w:ascii="宋体" w:hAnsi="宋体" w:eastAsia="宋体" w:cs="宋体"/>
                <w:b w:val="0"/>
                <w:bCs/>
                <w:color w:val="auto"/>
                <w:kern w:val="0"/>
                <w:sz w:val="22"/>
                <w:szCs w:val="22"/>
                <w:highlight w:val="none"/>
                <w:lang w:val="en-US" w:eastAsia="zh-CN"/>
              </w:rPr>
              <w:t>。（评分分值：5,4，3，2，1，0）</w:t>
            </w:r>
          </w:p>
        </w:tc>
        <w:tc>
          <w:tcPr>
            <w:tcW w:w="1097" w:type="dxa"/>
            <w:shd w:val="clear" w:color="auto" w:fill="auto"/>
            <w:vAlign w:val="center"/>
          </w:tcPr>
          <w:p w14:paraId="14470EA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0-5分</w:t>
            </w:r>
          </w:p>
        </w:tc>
      </w:tr>
      <w:tr w14:paraId="3DDF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66" w:type="dxa"/>
            <w:vAlign w:val="center"/>
          </w:tcPr>
          <w:p w14:paraId="59A1C8B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552411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7074CE9">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（二）</w:t>
            </w:r>
            <w:r>
              <w:rPr>
                <w:rFonts w:hint="eastAsia" w:ascii="宋体" w:hAnsi="宋体" w:cs="宋体"/>
                <w:b/>
                <w:bCs w:val="0"/>
                <w:color w:val="auto"/>
                <w:kern w:val="0"/>
                <w:sz w:val="22"/>
                <w:szCs w:val="22"/>
                <w:highlight w:val="none"/>
                <w:lang w:val="en-US" w:eastAsia="zh-CN"/>
              </w:rPr>
              <w:t>改造</w:t>
            </w:r>
            <w:r>
              <w:rPr>
                <w:rFonts w:hint="eastAsia" w:ascii="宋体" w:hAnsi="宋体" w:eastAsia="宋体" w:cs="宋体"/>
                <w:b/>
                <w:bCs w:val="0"/>
                <w:color w:val="auto"/>
                <w:kern w:val="0"/>
                <w:sz w:val="22"/>
                <w:szCs w:val="22"/>
                <w:highlight w:val="none"/>
                <w:lang w:val="en-US" w:eastAsia="zh-CN"/>
              </w:rPr>
              <w:t>实施部分的评分（35分）</w:t>
            </w:r>
          </w:p>
        </w:tc>
        <w:tc>
          <w:tcPr>
            <w:tcW w:w="1097" w:type="dxa"/>
            <w:vAlign w:val="center"/>
          </w:tcPr>
          <w:p w14:paraId="68F49AF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r>
      <w:tr w14:paraId="166F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66" w:type="dxa"/>
            <w:vAlign w:val="center"/>
          </w:tcPr>
          <w:p w14:paraId="7572614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22DAD6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项目负责人及项目</w:t>
            </w:r>
            <w:r>
              <w:rPr>
                <w:rFonts w:hint="eastAsia" w:ascii="宋体" w:hAnsi="宋体" w:cs="宋体"/>
                <w:b w:val="0"/>
                <w:bCs/>
                <w:color w:val="auto"/>
                <w:kern w:val="0"/>
                <w:sz w:val="22"/>
                <w:szCs w:val="22"/>
                <w:highlight w:val="none"/>
                <w:lang w:val="en-US" w:eastAsia="zh-CN"/>
              </w:rPr>
              <w:t>组成人员</w:t>
            </w:r>
          </w:p>
        </w:tc>
        <w:tc>
          <w:tcPr>
            <w:tcW w:w="6461" w:type="dxa"/>
            <w:shd w:val="clear" w:color="auto" w:fill="auto"/>
            <w:vAlign w:val="center"/>
          </w:tcPr>
          <w:p w14:paraId="5E6CC6D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default"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拟派建设项目负责人具有注册在投标人单位的注册土木工程师(水利水电工程)或注册建造师[水利水电工程</w:t>
            </w:r>
            <w:r>
              <w:rPr>
                <w:rFonts w:hint="eastAsia" w:ascii="宋体" w:hAnsi="宋体" w:cs="宋体"/>
                <w:b w:val="0"/>
                <w:bCs/>
                <w:color w:val="auto"/>
                <w:kern w:val="0"/>
                <w:sz w:val="22"/>
                <w:szCs w:val="22"/>
                <w:highlight w:val="none"/>
                <w:lang w:val="en-US" w:eastAsia="zh-CN"/>
              </w:rPr>
              <w:t>（或市政工程</w:t>
            </w:r>
            <w:r>
              <w:rPr>
                <w:rFonts w:hint="eastAsia" w:ascii="宋体" w:hAnsi="宋体" w:eastAsia="宋体" w:cs="宋体"/>
                <w:b w:val="0"/>
                <w:bCs/>
                <w:color w:val="auto"/>
                <w:kern w:val="0"/>
                <w:sz w:val="22"/>
                <w:szCs w:val="22"/>
                <w:highlight w:val="none"/>
                <w:lang w:val="en-US" w:eastAsia="zh-CN"/>
              </w:rPr>
              <w:t>）二级及以上]执业资格的得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分；具有安全生产考核B证的得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分；（0-</w:t>
            </w:r>
            <w:r>
              <w:rPr>
                <w:rFonts w:hint="eastAsia" w:ascii="宋体" w:hAnsi="宋体" w:cs="宋体"/>
                <w:b w:val="0"/>
                <w:bCs/>
                <w:color w:val="auto"/>
                <w:kern w:val="0"/>
                <w:sz w:val="22"/>
                <w:szCs w:val="22"/>
                <w:highlight w:val="none"/>
                <w:lang w:val="en-US" w:eastAsia="zh-CN"/>
              </w:rPr>
              <w:t>7</w:t>
            </w:r>
            <w:r>
              <w:rPr>
                <w:rFonts w:hint="eastAsia" w:ascii="宋体" w:hAnsi="宋体" w:eastAsia="宋体" w:cs="宋体"/>
                <w:b w:val="0"/>
                <w:bCs/>
                <w:color w:val="auto"/>
                <w:kern w:val="0"/>
                <w:sz w:val="22"/>
                <w:szCs w:val="22"/>
                <w:highlight w:val="none"/>
                <w:lang w:val="en-US" w:eastAsia="zh-CN"/>
              </w:rPr>
              <w:t>分）</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cs="宋体"/>
                <w:b w:val="0"/>
                <w:bCs/>
                <w:color w:val="auto"/>
                <w:kern w:val="0"/>
                <w:sz w:val="22"/>
                <w:szCs w:val="22"/>
                <w:highlight w:val="none"/>
                <w:lang w:val="en-US" w:eastAsia="zh-CN"/>
              </w:rPr>
              <w:t>项目组成员中具有施工员、材料员、质检员的，每具有一个得1分，最高的3分。</w:t>
            </w:r>
          </w:p>
          <w:p w14:paraId="4A75B1D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注：以上人员均需提供对应的证书原件扫描件或复印件、社保缴纳证明，否则不得分。</w:t>
            </w:r>
          </w:p>
        </w:tc>
        <w:tc>
          <w:tcPr>
            <w:tcW w:w="1097" w:type="dxa"/>
            <w:shd w:val="clear" w:color="auto" w:fill="auto"/>
            <w:vAlign w:val="center"/>
          </w:tcPr>
          <w:p w14:paraId="3589805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10</w:t>
            </w:r>
            <w:r>
              <w:rPr>
                <w:rFonts w:hint="eastAsia" w:ascii="宋体" w:hAnsi="宋体" w:eastAsia="宋体" w:cs="宋体"/>
                <w:b w:val="0"/>
                <w:bCs/>
                <w:color w:val="auto"/>
                <w:kern w:val="0"/>
                <w:sz w:val="22"/>
                <w:szCs w:val="22"/>
                <w:highlight w:val="none"/>
                <w:lang w:val="en-US" w:eastAsia="zh-CN"/>
              </w:rPr>
              <w:t>分</w:t>
            </w:r>
          </w:p>
        </w:tc>
      </w:tr>
      <w:tr w14:paraId="46D9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608BFDC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BE8705">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各专业工种的配置和劳动力的投入</w:t>
            </w:r>
          </w:p>
        </w:tc>
        <w:tc>
          <w:tcPr>
            <w:tcW w:w="6461" w:type="dxa"/>
            <w:shd w:val="clear" w:color="auto" w:fill="auto"/>
            <w:vAlign w:val="center"/>
          </w:tcPr>
          <w:p w14:paraId="2C28746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对各专业工种的配置和劳动力的投入（专业工种的配置、劳动力的投入、保障等）。（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1432F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7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714308C3">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7B613B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施工实施方案</w:t>
            </w:r>
          </w:p>
        </w:tc>
        <w:tc>
          <w:tcPr>
            <w:tcW w:w="6461" w:type="dxa"/>
            <w:shd w:val="clear" w:color="auto" w:fill="auto"/>
            <w:vAlign w:val="center"/>
          </w:tcPr>
          <w:p w14:paraId="16DC0BAF">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项目施工实施方案，根据方案合理性、科学性、可行性，是否贴合项目需求综合打分。（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D38E8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0D1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0287F27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20209F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进度计划</w:t>
            </w:r>
          </w:p>
        </w:tc>
        <w:tc>
          <w:tcPr>
            <w:tcW w:w="6461" w:type="dxa"/>
            <w:shd w:val="clear" w:color="auto" w:fill="auto"/>
          </w:tcPr>
          <w:p w14:paraId="40C1A6C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对施工进度控制（项目整体工期安排、施工阶段的工期分解、工作任务的合理安排、施工进度的控制方法、月周进度分析与优化改进等）。（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2026712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6E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AA88A24">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0A6F36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设备和检验仪器的投入</w:t>
            </w:r>
          </w:p>
        </w:tc>
        <w:tc>
          <w:tcPr>
            <w:tcW w:w="6461" w:type="dxa"/>
            <w:shd w:val="clear" w:color="auto" w:fill="auto"/>
            <w:vAlign w:val="center"/>
          </w:tcPr>
          <w:p w14:paraId="029CBE3A">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对施工设备和检验仪器的投入（贴合项目所需的设备、检验仪器的先进性、合理性）（</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A2D2D1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64D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2D9B48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41D37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关键部位和关键施工方案</w:t>
            </w:r>
          </w:p>
        </w:tc>
        <w:tc>
          <w:tcPr>
            <w:tcW w:w="6461" w:type="dxa"/>
            <w:shd w:val="clear" w:color="auto" w:fill="auto"/>
            <w:vAlign w:val="center"/>
          </w:tcPr>
          <w:p w14:paraId="5B7DD39E">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w:t>
            </w:r>
            <w:r>
              <w:rPr>
                <w:rFonts w:hint="eastAsia" w:ascii="宋体" w:hAnsi="宋体" w:cs="宋体"/>
                <w:b w:val="0"/>
                <w:bCs/>
                <w:color w:val="auto"/>
                <w:kern w:val="0"/>
                <w:sz w:val="22"/>
                <w:szCs w:val="22"/>
                <w:highlight w:val="none"/>
                <w:lang w:val="en-US" w:eastAsia="zh-CN"/>
              </w:rPr>
              <w:t>项目</w:t>
            </w:r>
            <w:r>
              <w:rPr>
                <w:rFonts w:hint="eastAsia" w:ascii="宋体" w:hAnsi="宋体" w:eastAsia="宋体" w:cs="宋体"/>
                <w:b w:val="0"/>
                <w:bCs/>
                <w:color w:val="auto"/>
                <w:kern w:val="0"/>
                <w:sz w:val="22"/>
                <w:szCs w:val="22"/>
                <w:highlight w:val="none"/>
                <w:lang w:val="en-US" w:eastAsia="zh-CN"/>
              </w:rPr>
              <w:t>的关键部位和关键施工方案（</w:t>
            </w:r>
            <w:r>
              <w:rPr>
                <w:rFonts w:hint="eastAsia" w:ascii="宋体" w:hAnsi="宋体" w:eastAsia="宋体" w:cs="宋体"/>
                <w:b w:val="0"/>
                <w:bCs/>
                <w:color w:val="auto"/>
                <w:kern w:val="0"/>
                <w:sz w:val="22"/>
                <w:szCs w:val="22"/>
                <w:highlight w:val="none"/>
                <w:lang w:val="en-US" w:eastAsia="en-US"/>
              </w:rPr>
              <w:t>项目重点难点分析及合理化建议，施工关键技术方案可行性、合理性。</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76795A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bl>
    <w:p w14:paraId="27EA530E">
      <w:pPr>
        <w:rPr>
          <w:rFonts w:hint="eastAsia"/>
          <w:color w:val="auto"/>
          <w:highlight w:val="none"/>
          <w:lang w:val="en-US" w:eastAsia="zh-CN"/>
        </w:rPr>
      </w:pPr>
    </w:p>
    <w:p w14:paraId="58FA1622">
      <w:pPr>
        <w:keepNext w:val="0"/>
        <w:keepLines w:val="0"/>
        <w:suppressLineNumbers w:val="0"/>
        <w:spacing w:before="0" w:beforeAutospacing="0" w:after="0" w:afterAutospacing="0" w:line="240" w:lineRule="auto"/>
        <w:ind w:left="0" w:right="0" w:firstLine="486" w:firstLineChars="200"/>
        <w:jc w:val="left"/>
        <w:rPr>
          <w:rFonts w:cs="宋体"/>
          <w:b/>
          <w:bCs/>
          <w:color w:val="auto"/>
          <w:sz w:val="24"/>
          <w:szCs w:val="24"/>
          <w:highlight w:val="none"/>
          <w:u w:val="single"/>
        </w:rPr>
      </w:pPr>
      <w:bookmarkStart w:id="271" w:name="_Toc18541_WPSOffice_Level2"/>
      <w:r>
        <w:rPr>
          <w:rFonts w:hint="eastAsia" w:ascii="宋体" w:hAnsi="宋体" w:eastAsia="宋体" w:cs="宋体"/>
          <w:b/>
          <w:bCs/>
          <w:color w:val="auto"/>
          <w:sz w:val="24"/>
          <w:szCs w:val="24"/>
          <w:highlight w:val="none"/>
          <w:u w:val="single"/>
          <w:lang w:val="en-US" w:eastAsia="zh-CN"/>
        </w:rPr>
        <w:t>注：如投标人为联合体的，联合体任一成员具备即可得分。</w:t>
      </w:r>
    </w:p>
    <w:p w14:paraId="201BACEA">
      <w:pPr>
        <w:pStyle w:val="12"/>
        <w:tabs>
          <w:tab w:val="left" w:pos="1069"/>
          <w:tab w:val="left" w:pos="2352"/>
        </w:tabs>
        <w:adjustRightInd w:val="0"/>
        <w:snapToGrid w:val="0"/>
        <w:spacing w:line="420" w:lineRule="exact"/>
        <w:ind w:left="335"/>
        <w:jc w:val="center"/>
        <w:rPr>
          <w:rFonts w:hint="eastAsia" w:hAnsi="宋体" w:cs="宋体"/>
          <w:b/>
          <w:bCs/>
          <w:color w:val="auto"/>
          <w:sz w:val="22"/>
          <w:szCs w:val="22"/>
          <w:highlight w:val="none"/>
        </w:rPr>
      </w:pPr>
    </w:p>
    <w:p w14:paraId="2979A587">
      <w:pPr>
        <w:pStyle w:val="12"/>
        <w:tabs>
          <w:tab w:val="left" w:pos="1069"/>
          <w:tab w:val="left" w:pos="2352"/>
        </w:tabs>
        <w:adjustRightInd w:val="0"/>
        <w:snapToGrid w:val="0"/>
        <w:spacing w:line="420" w:lineRule="exact"/>
        <w:ind w:left="335"/>
        <w:jc w:val="center"/>
        <w:rPr>
          <w:rFonts w:hAnsi="宋体" w:cs="宋体"/>
          <w:b/>
          <w:bCs/>
          <w:color w:val="auto"/>
          <w:sz w:val="22"/>
          <w:szCs w:val="22"/>
          <w:highlight w:val="none"/>
        </w:rPr>
      </w:pPr>
      <w:r>
        <w:rPr>
          <w:rFonts w:hint="eastAsia" w:hAnsi="宋体" w:cs="宋体"/>
          <w:b/>
          <w:bCs/>
          <w:color w:val="auto"/>
          <w:sz w:val="22"/>
          <w:szCs w:val="22"/>
          <w:highlight w:val="none"/>
        </w:rPr>
        <w:t>五、说明</w:t>
      </w:r>
      <w:bookmarkEnd w:id="271"/>
    </w:p>
    <w:p w14:paraId="183AF3B3">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1、每个供应商最终得分=商务技术分值（所有评审小组成员打分的算术平均值）＋报价分值。</w:t>
      </w:r>
    </w:p>
    <w:p w14:paraId="2506E76D">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2、评审小组推荐综合得分第一名的供应商为中标（成交）供应商，如果得分相同的，按投标报价由低到高顺序排列，得分且报价均相同的，按商务技术得分由高到低排列。</w:t>
      </w:r>
    </w:p>
    <w:p w14:paraId="32ABDDFE">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3、所有分值计算保留小数点后二位，小数点后三位四舍五入。</w:t>
      </w:r>
    </w:p>
    <w:p w14:paraId="68169FF6">
      <w:pPr>
        <w:pStyle w:val="12"/>
        <w:tabs>
          <w:tab w:val="left" w:pos="1069"/>
          <w:tab w:val="left" w:pos="2352"/>
        </w:tabs>
        <w:adjustRightInd w:val="0"/>
        <w:snapToGrid w:val="0"/>
        <w:spacing w:line="440" w:lineRule="atLeast"/>
        <w:rPr>
          <w:color w:val="auto"/>
          <w:highlight w:val="none"/>
        </w:rPr>
      </w:pPr>
      <w:r>
        <w:rPr>
          <w:rFonts w:hint="eastAsia" w:hAnsi="宋体" w:cs="宋体"/>
          <w:color w:val="auto"/>
          <w:sz w:val="22"/>
          <w:highlight w:val="none"/>
        </w:rPr>
        <w:t>参见本竞争性磋商文件第三部分：“供应商须知”中的相关内容，未尽事宜按有关法律规定处理。</w:t>
      </w:r>
    </w:p>
    <w:p w14:paraId="07959AB7">
      <w:pPr>
        <w:pStyle w:val="12"/>
        <w:tabs>
          <w:tab w:val="left" w:pos="1069"/>
          <w:tab w:val="left" w:pos="2352"/>
        </w:tabs>
        <w:adjustRightInd w:val="0"/>
        <w:snapToGrid w:val="0"/>
        <w:spacing w:line="440" w:lineRule="atLeast"/>
        <w:rPr>
          <w:color w:val="auto"/>
          <w:highlight w:val="none"/>
        </w:rPr>
      </w:pPr>
    </w:p>
    <w:sectPr>
      <w:headerReference r:id="rId14" w:type="first"/>
      <w:footerReference r:id="rId16" w:type="first"/>
      <w:headerReference r:id="rId13" w:type="default"/>
      <w:footerReference r:id="rId15" w:type="default"/>
      <w:pgSz w:w="11906" w:h="16838"/>
      <w:pgMar w:top="1440" w:right="1247" w:bottom="1440" w:left="1247" w:header="851" w:footer="992" w:gutter="0"/>
      <w:pgNumType w:fmt="decimal"/>
      <w:cols w:space="720" w:num="1"/>
      <w:titlePg/>
      <w:docGrid w:type="linesAndChars" w:linePitch="317" w:charSpace="8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长城仿宋">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Arial (W1)">
    <w:altName w:val="Arial"/>
    <w:panose1 w:val="00000000000000000000"/>
    <w:charset w:val="00"/>
    <w:family w:val="auto"/>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8D82">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11F7">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7A7051">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1C7A7051">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9911">
    <w:pPr>
      <w:pStyle w:val="15"/>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F42C0">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75F42C0">
                    <w:pPr>
                      <w:pStyle w:val="1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C71F8">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639E0">
                          <w:pPr>
                            <w:pStyle w:val="1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8639E0">
                    <w:pPr>
                      <w:pStyle w:val="1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002EC">
    <w:pPr>
      <w:pStyle w:val="1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15984">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6cP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7CixHGLE7/8/HH59efy+ztB&#10;HzaoD1Bj3n3AzDS88wMmz35AZ9Y9qGjzFxURjGN7z9f2yiERkR+tV+t1hSGBsfmC+OzheYiQ3ktv&#10;STYaGnF+pa389BHSmDqn5GrO32ljygyN+8eBmNnDMveRY7bSsB8mQXvfnlFPj6NvqMNNp8R8cNjZ&#10;vCWzEWdjPxvHEPWhQ2rLwgvC7TEhicItVxhhp8I4s6Ju2q+8FI/vJevhn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Qbpw9yQEAAJsDAAAOAAAAAAAAAAEAIAAAAB4BAABkcnMvZTJvRG9j&#10;LnhtbFBLBQYAAAAABgAGAFkBAABZBQAAAAA=&#10;">
              <v:fill on="f" focussize="0,0"/>
              <v:stroke on="f"/>
              <v:imagedata o:title=""/>
              <o:lock v:ext="edit" aspectratio="f"/>
              <v:textbox inset="0mm,0mm,0mm,0mm" style="mso-fit-shape-to-text:t;">
                <w:txbxContent>
                  <w:p w14:paraId="7E715984">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E88B0">
    <w:pPr>
      <w:pStyle w:val="15"/>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CA7E6">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D7CA7E6">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E6EB2A">
                          <w:pPr>
                            <w:pStyle w:val="15"/>
                          </w:pPr>
                          <w:r>
                            <w:rPr>
                              <w:rFonts w:hint="eastAsia"/>
                            </w:rPr>
                            <w:t>1</w:t>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gsYBAACc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er&#10;pE/vsaKye0+FcXgHA9XOcaRgoj20waYvEWKUJ3XPV3XVEJlMl9ar9bqklKTc7BB+8XDdB4zvFViW&#10;jJoHer6sqjh9xDiWziWpm4M7bUx+QuP+CRDmGFF5B6bbick4cbLisB8mentozsSupz2ouaO158x8&#10;cCRzWpnZCLOxn4zUEf3tMdIYebqEOkIRq+TQo2V+04KlrXjs56qHn2r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7/mSCxgEAAJwDAAAOAAAAAAAAAAEAIAAAAB4BAABkcnMvZTJvRG9jLnht&#10;bFBLBQYAAAAABgAGAFkBAABWBQAAAAA=&#10;">
              <v:fill on="f" focussize="0,0"/>
              <v:stroke on="f"/>
              <v:imagedata o:title=""/>
              <o:lock v:ext="edit" aspectratio="f"/>
              <v:textbox inset="0mm,0mm,0mm,0mm" style="mso-fit-shape-to-text:t;">
                <w:txbxContent>
                  <w:p w14:paraId="38E6EB2A">
                    <w:pPr>
                      <w:pStyle w:val="15"/>
                    </w:pPr>
                    <w:r>
                      <w:rPr>
                        <w:rFonts w:hint="eastAsia"/>
                      </w:rPr>
                      <w:t>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A3BB">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F11E0">
                          <w:pPr>
                            <w:pStyle w:val="1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7FF11E0">
                    <w:pPr>
                      <w:pStyle w:val="1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10C25">
    <w:pPr>
      <w:pStyle w:val="15"/>
      <w:tabs>
        <w:tab w:val="left" w:pos="4620"/>
        <w:tab w:val="clear" w:pos="4153"/>
      </w:tabs>
      <w:jc w:val="center"/>
      <w:rPr>
        <w:rFonts w:ascii="宋体"/>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1DDD7">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991DDD7">
                    <w:pPr>
                      <w:pStyle w:val="1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166E">
    <w:pPr>
      <w:pStyle w:val="17"/>
      <w:pBdr>
        <w:top w:val="none" w:color="auto" w:sz="0" w:space="0"/>
        <w:left w:val="none" w:color="auto" w:sz="0" w:space="0"/>
        <w:bottom w:val="none" w:color="auto" w:sz="0" w:space="0"/>
        <w:right w:val="none" w:color="auto" w:sz="0" w:space="0"/>
      </w:pBdr>
      <w:rPr>
        <w:u w:val="single"/>
      </w:rPr>
    </w:pPr>
    <w:r>
      <w:rPr>
        <w:u w:val="single"/>
      </w:rPr>
      <w:drawing>
        <wp:inline distT="0" distB="0" distL="114300" distR="114300">
          <wp:extent cx="325755" cy="273050"/>
          <wp:effectExtent l="0" t="0" r="7620" b="3175"/>
          <wp:docPr id="6"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2DD13">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8535">
    <w:pPr>
      <w:pStyle w:val="17"/>
    </w:pPr>
    <w:r>
      <w:rPr>
        <w:sz w:val="16"/>
        <w:szCs w:val="16"/>
        <w:u w:val="single"/>
      </w:rPr>
      <w:drawing>
        <wp:inline distT="0" distB="0" distL="114300" distR="114300">
          <wp:extent cx="325755" cy="273050"/>
          <wp:effectExtent l="0" t="0" r="7620" b="3175"/>
          <wp:docPr id="5"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6"/>
        <w:szCs w:val="16"/>
        <w:u w:val="single"/>
      </w:rPr>
      <w:t>杭州华旗招标代理有限公司</w:t>
    </w:r>
    <w:r>
      <w:rPr>
        <w:rFonts w:hint="eastAsia"/>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40D4B">
    <w:pPr>
      <w:pStyle w:val="17"/>
      <w:rPr>
        <w:rFonts w:ascii="宋体"/>
        <w:b/>
      </w:rPr>
    </w:pPr>
    <w:r>
      <w:rPr>
        <w:rFonts w:hint="eastAsia" w:ascii="宋体"/>
        <w:b/>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160655</wp:posOffset>
              </wp:positionV>
              <wp:extent cx="5826125" cy="15240"/>
              <wp:effectExtent l="0" t="4445" r="3175" b="5715"/>
              <wp:wrapNone/>
              <wp:docPr id="10" name="直接连接符 10"/>
              <wp:cNvGraphicFramePr/>
              <a:graphic xmlns:a="http://schemas.openxmlformats.org/drawingml/2006/main">
                <a:graphicData uri="http://schemas.microsoft.com/office/word/2010/wordprocessingShape">
                  <wps:wsp>
                    <wps:cNvCnPr/>
                    <wps:spPr>
                      <a:xfrm>
                        <a:off x="0" y="0"/>
                        <a:ext cx="5826125" cy="15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pt;margin-top:12.65pt;height:1.2pt;width:458.75pt;z-index:251659264;mso-width-relative:page;mso-height-relative:page;" filled="f" stroked="t" coordsize="21600,21600" o:gfxdata="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6JpONcAAAAIAQAADwAAAAAAAAABACAAAAAiAAAAZHJzL2Rvd25yZXYueG1sUEsBAhQAFAAA&#10;AAgAh07iQIxpB9/wAQAA3gMAAA4AAAAAAAAAAQAgAAAAJgEAAGRycy9lMm9Eb2MueG1sUEsFBgAA&#10;AAAGAAYAWQEAAIgFAAAAAA==&#10;">
              <v:fill on="f" focussize="0,0"/>
              <v:stroke color="#000000" joinstyle="round"/>
              <v:imagedata o:title=""/>
              <o:lock v:ext="edit" aspectratio="f"/>
            </v:line>
          </w:pict>
        </mc:Fallback>
      </mc:AlternateContent>
    </w:r>
    <w:r>
      <w:rPr>
        <w:rFonts w:hint="eastAsia" w:ascii="宋体"/>
        <w:b/>
      </w:rPr>
      <w:t>泰顺县政府采购</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10EE">
    <w:pPr>
      <w:pStyle w:val="17"/>
      <w:rPr>
        <w:u w:val="single"/>
      </w:rPr>
    </w:pPr>
    <w:r>
      <w:rPr>
        <w:u w:val="single"/>
      </w:rPr>
      <w:drawing>
        <wp:inline distT="0" distB="0" distL="114300" distR="114300">
          <wp:extent cx="325755" cy="273050"/>
          <wp:effectExtent l="0" t="0" r="7620" b="3175"/>
          <wp:docPr id="7"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u w:val="single"/>
      </w:rPr>
      <w:t>杭州华旗招标代理有限公司</w:t>
    </w:r>
    <w:r>
      <w:rPr>
        <w:rFonts w:hint="eastAsia"/>
        <w:u w:val="single"/>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0FCD">
    <w:pPr>
      <w:pStyle w:val="17"/>
      <w:pBdr>
        <w:top w:val="none" w:color="auto" w:sz="0" w:space="0"/>
        <w:left w:val="none" w:color="auto" w:sz="0" w:space="0"/>
        <w:bottom w:val="none" w:color="auto" w:sz="0" w:space="0"/>
        <w:right w:val="none" w:color="auto" w:sz="0" w:space="0"/>
      </w:pBdr>
      <w:rPr>
        <w:rFonts w:ascii="宋体"/>
        <w:u w:val="single"/>
      </w:rPr>
    </w:pPr>
    <w:r>
      <w:rPr>
        <w:u w:val="single"/>
      </w:rPr>
      <w:drawing>
        <wp:inline distT="0" distB="0" distL="114300" distR="114300">
          <wp:extent cx="345440" cy="288925"/>
          <wp:effectExtent l="0" t="0" r="6985" b="6350"/>
          <wp:docPr id="8"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公司标志"/>
                  <pic:cNvPicPr>
                    <a:picLocks noChangeAspect="1"/>
                  </pic:cNvPicPr>
                </pic:nvPicPr>
                <pic:blipFill>
                  <a:blip r:embed="rId1"/>
                  <a:stretch>
                    <a:fillRect/>
                  </a:stretch>
                </pic:blipFill>
                <pic:spPr>
                  <a:xfrm>
                    <a:off x="0" y="0"/>
                    <a:ext cx="345440" cy="288925"/>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374CF"/>
    <w:multiLevelType w:val="singleLevel"/>
    <w:tmpl w:val="DDC374CF"/>
    <w:lvl w:ilvl="0" w:tentative="0">
      <w:start w:val="1"/>
      <w:numFmt w:val="decimal"/>
      <w:lvlText w:val="%1."/>
      <w:lvlJc w:val="left"/>
      <w:pPr>
        <w:ind w:left="425" w:hanging="425"/>
      </w:pPr>
      <w:rPr>
        <w:rFonts w:hint="default"/>
      </w:rPr>
    </w:lvl>
  </w:abstractNum>
  <w:abstractNum w:abstractNumId="1">
    <w:nsid w:val="FBB0A722"/>
    <w:multiLevelType w:val="singleLevel"/>
    <w:tmpl w:val="FBB0A722"/>
    <w:lvl w:ilvl="0" w:tentative="0">
      <w:start w:val="4"/>
      <w:numFmt w:val="chineseCounting"/>
      <w:suff w:val="nothing"/>
      <w:lvlText w:val="%1、"/>
      <w:lvlJc w:val="left"/>
      <w:rPr>
        <w:rFonts w:hint="eastAsia"/>
      </w:rPr>
    </w:lvl>
  </w:abstractNum>
  <w:abstractNum w:abstractNumId="2">
    <w:nsid w:val="00000000"/>
    <w:multiLevelType w:val="singleLevel"/>
    <w:tmpl w:val="00000000"/>
    <w:lvl w:ilvl="0" w:tentative="0">
      <w:start w:val="1"/>
      <w:numFmt w:val="decimal"/>
      <w:lvlText w:val="%1."/>
      <w:lvlJc w:val="left"/>
      <w:pPr>
        <w:ind w:left="425" w:hanging="425"/>
      </w:pPr>
      <w:rPr>
        <w:rFonts w:hint="default"/>
      </w:rPr>
    </w:lvl>
  </w:abstractNum>
  <w:abstractNum w:abstractNumId="3">
    <w:nsid w:val="00000002"/>
    <w:multiLevelType w:val="singleLevel"/>
    <w:tmpl w:val="00000002"/>
    <w:lvl w:ilvl="0" w:tentative="0">
      <w:start w:val="1"/>
      <w:numFmt w:val="decimal"/>
      <w:suff w:val="space"/>
      <w:lvlText w:val="%1."/>
      <w:lvlJc w:val="left"/>
    </w:lvl>
  </w:abstractNum>
  <w:abstractNum w:abstractNumId="4">
    <w:nsid w:val="00000016"/>
    <w:multiLevelType w:val="multilevel"/>
    <w:tmpl w:val="00000016"/>
    <w:lvl w:ilvl="0" w:tentative="0">
      <w:start w:val="1"/>
      <w:numFmt w:val="decimal"/>
      <w:lvlText w:val="%1."/>
      <w:lvlJc w:val="left"/>
      <w:pPr>
        <w:tabs>
          <w:tab w:val="left" w:pos="720"/>
        </w:tabs>
        <w:ind w:left="720" w:hanging="720"/>
      </w:pPr>
      <w:rPr>
        <w:rFonts w:hint="default" w:cs="Times New Roman"/>
      </w:rPr>
    </w:lvl>
    <w:lvl w:ilvl="1" w:tentative="0">
      <w:start w:val="1"/>
      <w:numFmt w:val="decimal"/>
      <w:lvlText w:val="%2."/>
      <w:lvlJc w:val="left"/>
      <w:pPr>
        <w:tabs>
          <w:tab w:val="left" w:pos="720"/>
        </w:tabs>
        <w:ind w:left="720" w:hanging="720"/>
      </w:pPr>
      <w:rPr>
        <w:rFonts w:hint="default" w:ascii="Arial (W1)" w:hAnsi="Arial (W1)" w:cs="Times New Roman"/>
        <w:b/>
        <w:i w:val="0"/>
        <w:sz w:val="28"/>
      </w:rPr>
    </w:lvl>
    <w:lvl w:ilvl="2" w:tentative="0">
      <w:start w:val="1"/>
      <w:numFmt w:val="decimal"/>
      <w:lvlText w:val="%1.%3."/>
      <w:lvlJc w:val="left"/>
      <w:pPr>
        <w:tabs>
          <w:tab w:val="left" w:pos="720"/>
        </w:tabs>
        <w:ind w:left="720" w:hanging="720"/>
      </w:pPr>
      <w:rPr>
        <w:rFonts w:hint="default" w:cs="Times New Roman"/>
      </w:rPr>
    </w:lvl>
    <w:lvl w:ilvl="3" w:tentative="0">
      <w:start w:val="1"/>
      <w:numFmt w:val="decimal"/>
      <w:lvlText w:val="%1.%3.%4."/>
      <w:lvlJc w:val="left"/>
      <w:pPr>
        <w:tabs>
          <w:tab w:val="left" w:pos="1728"/>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324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4320"/>
        </w:tabs>
        <w:ind w:left="3744" w:hanging="1224"/>
      </w:pPr>
      <w:rPr>
        <w:rFonts w:hint="default" w:cs="Times New Roman"/>
      </w:rPr>
    </w:lvl>
    <w:lvl w:ilvl="8" w:tentative="0">
      <w:start w:val="1"/>
      <w:numFmt w:val="decimal"/>
      <w:lvlText w:val="%1.%2.%3.%4.%5.%6.%7.%8.%9."/>
      <w:lvlJc w:val="left"/>
      <w:pPr>
        <w:tabs>
          <w:tab w:val="left" w:pos="5040"/>
        </w:tabs>
        <w:ind w:left="4320" w:hanging="1440"/>
      </w:pPr>
      <w:rPr>
        <w:rFonts w:hint="default" w:cs="Times New Roman"/>
      </w:rPr>
    </w:lvl>
  </w:abstractNum>
  <w:abstractNum w:abstractNumId="5">
    <w:nsid w:val="19AD446A"/>
    <w:multiLevelType w:val="multilevel"/>
    <w:tmpl w:val="19AD446A"/>
    <w:lvl w:ilvl="0" w:tentative="0">
      <w:start w:val="1"/>
      <w:numFmt w:val="decimal"/>
      <w:lvlText w:val="%1."/>
      <w:lvlJc w:val="left"/>
      <w:pPr>
        <w:ind w:left="704" w:hanging="420"/>
      </w:pPr>
      <w:rPr>
        <w:rFonts w:hint="default"/>
      </w:rPr>
    </w:lvl>
    <w:lvl w:ilvl="1" w:tentative="0">
      <w:start w:val="1"/>
      <w:numFmt w:val="decimal"/>
      <w:isLgl/>
      <w:lvlText w:val="%1.%2"/>
      <w:lvlJc w:val="left"/>
      <w:pPr>
        <w:ind w:left="1060" w:hanging="720"/>
      </w:pPr>
      <w:rPr>
        <w:rFonts w:hint="default"/>
      </w:rPr>
    </w:lvl>
    <w:lvl w:ilvl="2" w:tentative="0">
      <w:start w:val="1"/>
      <w:numFmt w:val="decimal"/>
      <w:isLgl/>
      <w:lvlText w:val="%1.%2.%3"/>
      <w:lvlJc w:val="left"/>
      <w:pPr>
        <w:ind w:left="1542" w:hanging="720"/>
      </w:pPr>
      <w:rPr>
        <w:rFonts w:hint="default"/>
      </w:rPr>
    </w:lvl>
    <w:lvl w:ilvl="3" w:tentative="0">
      <w:start w:val="1"/>
      <w:numFmt w:val="decimal"/>
      <w:isLgl/>
      <w:lvlText w:val="%1.%2.%3.%4"/>
      <w:lvlJc w:val="left"/>
      <w:pPr>
        <w:ind w:left="2384" w:hanging="1080"/>
      </w:pPr>
      <w:rPr>
        <w:rFonts w:hint="default"/>
      </w:rPr>
    </w:lvl>
    <w:lvl w:ilvl="4" w:tentative="0">
      <w:start w:val="1"/>
      <w:numFmt w:val="decimal"/>
      <w:isLgl/>
      <w:lvlText w:val="%1.%2.%3.%4.%5"/>
      <w:lvlJc w:val="left"/>
      <w:pPr>
        <w:ind w:left="3226" w:hanging="1440"/>
      </w:pPr>
      <w:rPr>
        <w:rFonts w:hint="default"/>
      </w:rPr>
    </w:lvl>
    <w:lvl w:ilvl="5" w:tentative="0">
      <w:start w:val="1"/>
      <w:numFmt w:val="decimal"/>
      <w:isLgl/>
      <w:lvlText w:val="%1.%2.%3.%4.%5.%6"/>
      <w:lvlJc w:val="left"/>
      <w:pPr>
        <w:ind w:left="3708" w:hanging="1440"/>
      </w:pPr>
      <w:rPr>
        <w:rFonts w:hint="default"/>
      </w:rPr>
    </w:lvl>
    <w:lvl w:ilvl="6" w:tentative="0">
      <w:start w:val="1"/>
      <w:numFmt w:val="decimal"/>
      <w:isLgl/>
      <w:lvlText w:val="%1.%2.%3.%4.%5.%6.%7"/>
      <w:lvlJc w:val="left"/>
      <w:pPr>
        <w:ind w:left="4550" w:hanging="1800"/>
      </w:pPr>
      <w:rPr>
        <w:rFonts w:hint="default"/>
      </w:rPr>
    </w:lvl>
    <w:lvl w:ilvl="7" w:tentative="0">
      <w:start w:val="1"/>
      <w:numFmt w:val="decimal"/>
      <w:isLgl/>
      <w:lvlText w:val="%1.%2.%3.%4.%5.%6.%7.%8"/>
      <w:lvlJc w:val="left"/>
      <w:pPr>
        <w:ind w:left="5392" w:hanging="2160"/>
      </w:pPr>
      <w:rPr>
        <w:rFonts w:hint="default"/>
      </w:rPr>
    </w:lvl>
    <w:lvl w:ilvl="8" w:tentative="0">
      <w:start w:val="1"/>
      <w:numFmt w:val="decimal"/>
      <w:isLgl/>
      <w:lvlText w:val="%1.%2.%3.%4.%5.%6.%7.%8.%9"/>
      <w:lvlJc w:val="left"/>
      <w:pPr>
        <w:ind w:left="5874" w:hanging="2160"/>
      </w:pPr>
      <w:rPr>
        <w:rFonts w:hint="default"/>
      </w:rPr>
    </w:lvl>
  </w:abstractNum>
  <w:abstractNum w:abstractNumId="6">
    <w:nsid w:val="599289D4"/>
    <w:multiLevelType w:val="singleLevel"/>
    <w:tmpl w:val="599289D4"/>
    <w:lvl w:ilvl="0" w:tentative="0">
      <w:start w:val="1"/>
      <w:numFmt w:val="decimal"/>
      <w:lvlText w:val="%1."/>
      <w:lvlJc w:val="left"/>
      <w:pPr>
        <w:ind w:left="425" w:hanging="425"/>
      </w:pPr>
      <w:rPr>
        <w:rFonts w:hint="default"/>
      </w:rPr>
    </w:lvl>
  </w:abstractNum>
  <w:abstractNum w:abstractNumId="7">
    <w:nsid w:val="599289EC"/>
    <w:multiLevelType w:val="singleLevel"/>
    <w:tmpl w:val="599289EC"/>
    <w:lvl w:ilvl="0" w:tentative="0">
      <w:start w:val="1"/>
      <w:numFmt w:val="decimal"/>
      <w:lvlText w:val="%1."/>
      <w:lvlJc w:val="left"/>
      <w:pPr>
        <w:ind w:left="425" w:hanging="425"/>
      </w:pPr>
      <w:rPr>
        <w:rFonts w:hint="default" w:cs="Times New Roman"/>
      </w:rPr>
    </w:lvl>
  </w:abstractNum>
  <w:abstractNum w:abstractNumId="8">
    <w:nsid w:val="61BD0F6F"/>
    <w:multiLevelType w:val="singleLevel"/>
    <w:tmpl w:val="61BD0F6F"/>
    <w:lvl w:ilvl="0" w:tentative="0">
      <w:start w:val="1"/>
      <w:numFmt w:val="decimal"/>
      <w:suff w:val="nothing"/>
      <w:lvlText w:val="（%1）"/>
      <w:lvlJc w:val="left"/>
    </w:lvl>
  </w:abstractNum>
  <w:num w:numId="1">
    <w:abstractNumId w:val="4"/>
  </w:num>
  <w:num w:numId="2">
    <w:abstractNumId w:val="6"/>
  </w:num>
  <w:num w:numId="3">
    <w:abstractNumId w:val="7"/>
  </w:num>
  <w:num w:numId="4">
    <w:abstractNumId w:val="0"/>
  </w:num>
  <w:num w:numId="5">
    <w:abstractNumId w:val="8"/>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formatting="1" w:enforcement="1" w:cryptProviderType="rsaFull" w:cryptAlgorithmClass="hash" w:cryptAlgorithmType="typeAny" w:cryptAlgorithmSid="4" w:cryptSpinCount="0" w:hash="WZI0FZEvsFBuPdRST4pL/4hTp20=" w:salt="FttZsRYuT6bMTYNGoPoLT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Njk0ZGYzYzk1OTZiYzA2NTYwZTg1ODY0OGMwOGEifQ=="/>
    <w:docVar w:name="KSO_WPS_MARK_KEY" w:val="168545c4-e179-4adb-bf81-7de5d557aace"/>
  </w:docVars>
  <w:rsids>
    <w:rsidRoot w:val="004F60FC"/>
    <w:rsid w:val="00023435"/>
    <w:rsid w:val="00091417"/>
    <w:rsid w:val="000C043C"/>
    <w:rsid w:val="00106D69"/>
    <w:rsid w:val="00146EF4"/>
    <w:rsid w:val="001514AB"/>
    <w:rsid w:val="00160D18"/>
    <w:rsid w:val="001D49DD"/>
    <w:rsid w:val="00297DC5"/>
    <w:rsid w:val="002A5492"/>
    <w:rsid w:val="002D48AB"/>
    <w:rsid w:val="00336283"/>
    <w:rsid w:val="003569F9"/>
    <w:rsid w:val="00370326"/>
    <w:rsid w:val="00372055"/>
    <w:rsid w:val="00391E34"/>
    <w:rsid w:val="00397E18"/>
    <w:rsid w:val="0045081A"/>
    <w:rsid w:val="004619BD"/>
    <w:rsid w:val="004674B6"/>
    <w:rsid w:val="00497A01"/>
    <w:rsid w:val="004C0569"/>
    <w:rsid w:val="004F60FC"/>
    <w:rsid w:val="00525FF1"/>
    <w:rsid w:val="00570F07"/>
    <w:rsid w:val="005D37D9"/>
    <w:rsid w:val="005E4E2E"/>
    <w:rsid w:val="00607FC1"/>
    <w:rsid w:val="006609EF"/>
    <w:rsid w:val="00661709"/>
    <w:rsid w:val="0066330D"/>
    <w:rsid w:val="00666584"/>
    <w:rsid w:val="006A39CC"/>
    <w:rsid w:val="006F7683"/>
    <w:rsid w:val="00751F34"/>
    <w:rsid w:val="007B4B7A"/>
    <w:rsid w:val="00805943"/>
    <w:rsid w:val="00880BD5"/>
    <w:rsid w:val="008817D8"/>
    <w:rsid w:val="008E57EA"/>
    <w:rsid w:val="00922C79"/>
    <w:rsid w:val="009434B7"/>
    <w:rsid w:val="009513F3"/>
    <w:rsid w:val="00A54CAA"/>
    <w:rsid w:val="00A56D88"/>
    <w:rsid w:val="00B22860"/>
    <w:rsid w:val="00B352DA"/>
    <w:rsid w:val="00B459C4"/>
    <w:rsid w:val="00B932F4"/>
    <w:rsid w:val="00BA57B7"/>
    <w:rsid w:val="00BF2E34"/>
    <w:rsid w:val="00C053D9"/>
    <w:rsid w:val="00C257AC"/>
    <w:rsid w:val="00C43C0A"/>
    <w:rsid w:val="00C5319B"/>
    <w:rsid w:val="00D408FA"/>
    <w:rsid w:val="00D7119F"/>
    <w:rsid w:val="00D8776A"/>
    <w:rsid w:val="00E2309A"/>
    <w:rsid w:val="00F1629E"/>
    <w:rsid w:val="00FA6280"/>
    <w:rsid w:val="00FD7DD1"/>
    <w:rsid w:val="01252761"/>
    <w:rsid w:val="013F26F3"/>
    <w:rsid w:val="01501794"/>
    <w:rsid w:val="015109B1"/>
    <w:rsid w:val="01603061"/>
    <w:rsid w:val="017D59D9"/>
    <w:rsid w:val="01AD62C5"/>
    <w:rsid w:val="01B17394"/>
    <w:rsid w:val="022E07BF"/>
    <w:rsid w:val="0284231A"/>
    <w:rsid w:val="0284372F"/>
    <w:rsid w:val="03147BC1"/>
    <w:rsid w:val="033E696D"/>
    <w:rsid w:val="03CD1A9F"/>
    <w:rsid w:val="03D35307"/>
    <w:rsid w:val="03EA7172"/>
    <w:rsid w:val="04041B26"/>
    <w:rsid w:val="04296BE6"/>
    <w:rsid w:val="042C5CD9"/>
    <w:rsid w:val="04737A9F"/>
    <w:rsid w:val="048670A4"/>
    <w:rsid w:val="04E46D57"/>
    <w:rsid w:val="04F53C1B"/>
    <w:rsid w:val="04FA3D18"/>
    <w:rsid w:val="051C746F"/>
    <w:rsid w:val="05627961"/>
    <w:rsid w:val="05A25C1A"/>
    <w:rsid w:val="05FD04C7"/>
    <w:rsid w:val="0612468B"/>
    <w:rsid w:val="061C0B3E"/>
    <w:rsid w:val="061C75AE"/>
    <w:rsid w:val="06350F42"/>
    <w:rsid w:val="064A7DA1"/>
    <w:rsid w:val="06874187"/>
    <w:rsid w:val="06AC1C03"/>
    <w:rsid w:val="06C0552D"/>
    <w:rsid w:val="06CE194A"/>
    <w:rsid w:val="06E24909"/>
    <w:rsid w:val="07264835"/>
    <w:rsid w:val="075F6EB2"/>
    <w:rsid w:val="076B1244"/>
    <w:rsid w:val="07A23F20"/>
    <w:rsid w:val="07A64EC2"/>
    <w:rsid w:val="07DB2D71"/>
    <w:rsid w:val="07E55732"/>
    <w:rsid w:val="081E6628"/>
    <w:rsid w:val="0854720E"/>
    <w:rsid w:val="08803584"/>
    <w:rsid w:val="09093274"/>
    <w:rsid w:val="09261C95"/>
    <w:rsid w:val="096E430B"/>
    <w:rsid w:val="097025FB"/>
    <w:rsid w:val="097C674F"/>
    <w:rsid w:val="098D5F59"/>
    <w:rsid w:val="09A17DBA"/>
    <w:rsid w:val="09BC05EC"/>
    <w:rsid w:val="09BC2D71"/>
    <w:rsid w:val="09C3783A"/>
    <w:rsid w:val="09C5110F"/>
    <w:rsid w:val="09E35CE4"/>
    <w:rsid w:val="0A0472E9"/>
    <w:rsid w:val="0A311FC2"/>
    <w:rsid w:val="0A405A8E"/>
    <w:rsid w:val="0A7B4627"/>
    <w:rsid w:val="0AA51080"/>
    <w:rsid w:val="0AA61249"/>
    <w:rsid w:val="0AC6281A"/>
    <w:rsid w:val="0AE25D0A"/>
    <w:rsid w:val="0B8C09BB"/>
    <w:rsid w:val="0B8E5FB8"/>
    <w:rsid w:val="0B976B42"/>
    <w:rsid w:val="0BAE21B6"/>
    <w:rsid w:val="0BB7585C"/>
    <w:rsid w:val="0BC139CB"/>
    <w:rsid w:val="0BE12DDB"/>
    <w:rsid w:val="0C033BE7"/>
    <w:rsid w:val="0C1267C6"/>
    <w:rsid w:val="0C225961"/>
    <w:rsid w:val="0C235C6D"/>
    <w:rsid w:val="0C252478"/>
    <w:rsid w:val="0C48260B"/>
    <w:rsid w:val="0CC44B30"/>
    <w:rsid w:val="0CC51EAD"/>
    <w:rsid w:val="0CD71C25"/>
    <w:rsid w:val="0D500D26"/>
    <w:rsid w:val="0D786F20"/>
    <w:rsid w:val="0D87771C"/>
    <w:rsid w:val="0DA27AF9"/>
    <w:rsid w:val="0DB53DE2"/>
    <w:rsid w:val="0E234421"/>
    <w:rsid w:val="0E336A63"/>
    <w:rsid w:val="0E34728C"/>
    <w:rsid w:val="0E3A5799"/>
    <w:rsid w:val="0E981627"/>
    <w:rsid w:val="0ECF60BE"/>
    <w:rsid w:val="0EF4695B"/>
    <w:rsid w:val="0F041CA9"/>
    <w:rsid w:val="0F1A5440"/>
    <w:rsid w:val="0F657030"/>
    <w:rsid w:val="0FAA6DAA"/>
    <w:rsid w:val="0FBE7A18"/>
    <w:rsid w:val="0FC52E37"/>
    <w:rsid w:val="0FFA37D6"/>
    <w:rsid w:val="101040B3"/>
    <w:rsid w:val="10577F93"/>
    <w:rsid w:val="106A6D88"/>
    <w:rsid w:val="10B1077E"/>
    <w:rsid w:val="10E36DA6"/>
    <w:rsid w:val="111A3546"/>
    <w:rsid w:val="11515BFC"/>
    <w:rsid w:val="11567578"/>
    <w:rsid w:val="120B1F5E"/>
    <w:rsid w:val="12474AB9"/>
    <w:rsid w:val="12745F08"/>
    <w:rsid w:val="1286080A"/>
    <w:rsid w:val="12A3059B"/>
    <w:rsid w:val="12A62B99"/>
    <w:rsid w:val="12DB3C9D"/>
    <w:rsid w:val="130B7EEE"/>
    <w:rsid w:val="130C2083"/>
    <w:rsid w:val="136A29F0"/>
    <w:rsid w:val="13A90D64"/>
    <w:rsid w:val="13B013CC"/>
    <w:rsid w:val="13E45553"/>
    <w:rsid w:val="13F31483"/>
    <w:rsid w:val="142360B8"/>
    <w:rsid w:val="1444190A"/>
    <w:rsid w:val="14AE19F3"/>
    <w:rsid w:val="14B9556B"/>
    <w:rsid w:val="14CE5BFB"/>
    <w:rsid w:val="15111121"/>
    <w:rsid w:val="151412DC"/>
    <w:rsid w:val="156C2EC6"/>
    <w:rsid w:val="15851759"/>
    <w:rsid w:val="15AF5961"/>
    <w:rsid w:val="15B83EB6"/>
    <w:rsid w:val="15C83095"/>
    <w:rsid w:val="15D80567"/>
    <w:rsid w:val="1604441D"/>
    <w:rsid w:val="161C6052"/>
    <w:rsid w:val="16351E52"/>
    <w:rsid w:val="163A4125"/>
    <w:rsid w:val="16426B29"/>
    <w:rsid w:val="165E3157"/>
    <w:rsid w:val="167E3D1D"/>
    <w:rsid w:val="16E1530E"/>
    <w:rsid w:val="171F2164"/>
    <w:rsid w:val="176C33CC"/>
    <w:rsid w:val="177978A3"/>
    <w:rsid w:val="17806E60"/>
    <w:rsid w:val="17B472A4"/>
    <w:rsid w:val="17C10B62"/>
    <w:rsid w:val="17DD2889"/>
    <w:rsid w:val="17F124E3"/>
    <w:rsid w:val="18496D4A"/>
    <w:rsid w:val="18630427"/>
    <w:rsid w:val="18644328"/>
    <w:rsid w:val="188E5849"/>
    <w:rsid w:val="18AC463D"/>
    <w:rsid w:val="18B1461F"/>
    <w:rsid w:val="18D25736"/>
    <w:rsid w:val="18E43DAA"/>
    <w:rsid w:val="19250257"/>
    <w:rsid w:val="193C65B7"/>
    <w:rsid w:val="194F1722"/>
    <w:rsid w:val="19532350"/>
    <w:rsid w:val="198C189C"/>
    <w:rsid w:val="1A400DC5"/>
    <w:rsid w:val="1A6B7B1F"/>
    <w:rsid w:val="1A7B2CA8"/>
    <w:rsid w:val="1AF23DA0"/>
    <w:rsid w:val="1B084740"/>
    <w:rsid w:val="1B287A01"/>
    <w:rsid w:val="1B3306B6"/>
    <w:rsid w:val="1B444EB1"/>
    <w:rsid w:val="1B532C20"/>
    <w:rsid w:val="1B8847D2"/>
    <w:rsid w:val="1BBA4792"/>
    <w:rsid w:val="1BBF7512"/>
    <w:rsid w:val="1BE54039"/>
    <w:rsid w:val="1BFC0E69"/>
    <w:rsid w:val="1C15318E"/>
    <w:rsid w:val="1C33621A"/>
    <w:rsid w:val="1C3539AC"/>
    <w:rsid w:val="1C36331D"/>
    <w:rsid w:val="1C8F393E"/>
    <w:rsid w:val="1CDB3C3A"/>
    <w:rsid w:val="1CE17267"/>
    <w:rsid w:val="1D1D1605"/>
    <w:rsid w:val="1D657B93"/>
    <w:rsid w:val="1D707EA3"/>
    <w:rsid w:val="1D813BCE"/>
    <w:rsid w:val="1D8D4321"/>
    <w:rsid w:val="1DBB0E8E"/>
    <w:rsid w:val="1E195356"/>
    <w:rsid w:val="1E262D52"/>
    <w:rsid w:val="1E3D5D47"/>
    <w:rsid w:val="1E895ABA"/>
    <w:rsid w:val="1E975C04"/>
    <w:rsid w:val="1EBF44D0"/>
    <w:rsid w:val="1EF57228"/>
    <w:rsid w:val="1F126CF5"/>
    <w:rsid w:val="1F147105"/>
    <w:rsid w:val="1F1E3555"/>
    <w:rsid w:val="1F7D23EA"/>
    <w:rsid w:val="1F8E2FE5"/>
    <w:rsid w:val="203B617F"/>
    <w:rsid w:val="2068045B"/>
    <w:rsid w:val="206967F2"/>
    <w:rsid w:val="208C08C0"/>
    <w:rsid w:val="208D3647"/>
    <w:rsid w:val="20C462AC"/>
    <w:rsid w:val="20FB29C9"/>
    <w:rsid w:val="2107515C"/>
    <w:rsid w:val="21315848"/>
    <w:rsid w:val="21336F8E"/>
    <w:rsid w:val="217A07CC"/>
    <w:rsid w:val="217C14B7"/>
    <w:rsid w:val="21B707B2"/>
    <w:rsid w:val="21D91EF7"/>
    <w:rsid w:val="2206289A"/>
    <w:rsid w:val="22097D0C"/>
    <w:rsid w:val="224202FD"/>
    <w:rsid w:val="2253136D"/>
    <w:rsid w:val="225B7F85"/>
    <w:rsid w:val="22692BBC"/>
    <w:rsid w:val="227B5C0F"/>
    <w:rsid w:val="22800419"/>
    <w:rsid w:val="22C36646"/>
    <w:rsid w:val="22CD6F6E"/>
    <w:rsid w:val="236B4BD9"/>
    <w:rsid w:val="23757D31"/>
    <w:rsid w:val="23A75A11"/>
    <w:rsid w:val="23E40A13"/>
    <w:rsid w:val="23E966D4"/>
    <w:rsid w:val="23F156E1"/>
    <w:rsid w:val="240E4ED4"/>
    <w:rsid w:val="24137605"/>
    <w:rsid w:val="244D0E6E"/>
    <w:rsid w:val="246D11AD"/>
    <w:rsid w:val="247022A7"/>
    <w:rsid w:val="247500F5"/>
    <w:rsid w:val="24855912"/>
    <w:rsid w:val="24F66C50"/>
    <w:rsid w:val="24FE3614"/>
    <w:rsid w:val="25085783"/>
    <w:rsid w:val="251E5786"/>
    <w:rsid w:val="25277F29"/>
    <w:rsid w:val="257822C4"/>
    <w:rsid w:val="25D64EA3"/>
    <w:rsid w:val="261A5207"/>
    <w:rsid w:val="2635037A"/>
    <w:rsid w:val="26492DAF"/>
    <w:rsid w:val="26B22F8E"/>
    <w:rsid w:val="26BD7328"/>
    <w:rsid w:val="26CD1C32"/>
    <w:rsid w:val="26F858C0"/>
    <w:rsid w:val="275B780F"/>
    <w:rsid w:val="27927355"/>
    <w:rsid w:val="279B7D4A"/>
    <w:rsid w:val="27A3338F"/>
    <w:rsid w:val="27AB6C82"/>
    <w:rsid w:val="27D35027"/>
    <w:rsid w:val="28137B19"/>
    <w:rsid w:val="282E6701"/>
    <w:rsid w:val="28666CF2"/>
    <w:rsid w:val="28757E8C"/>
    <w:rsid w:val="28D162D3"/>
    <w:rsid w:val="28DB23E5"/>
    <w:rsid w:val="28DE3068"/>
    <w:rsid w:val="28DE620D"/>
    <w:rsid w:val="28EE502A"/>
    <w:rsid w:val="291F0CCF"/>
    <w:rsid w:val="29220551"/>
    <w:rsid w:val="29313C6C"/>
    <w:rsid w:val="2935593C"/>
    <w:rsid w:val="29F556C0"/>
    <w:rsid w:val="2A0C44BE"/>
    <w:rsid w:val="2A2D2A30"/>
    <w:rsid w:val="2A5F2835"/>
    <w:rsid w:val="2A871192"/>
    <w:rsid w:val="2A9B2FB4"/>
    <w:rsid w:val="2AAD7DB1"/>
    <w:rsid w:val="2AC450FA"/>
    <w:rsid w:val="2B102DA4"/>
    <w:rsid w:val="2B4C2F63"/>
    <w:rsid w:val="2BFB4597"/>
    <w:rsid w:val="2C0103B8"/>
    <w:rsid w:val="2C1135F0"/>
    <w:rsid w:val="2C763FA1"/>
    <w:rsid w:val="2C8D5567"/>
    <w:rsid w:val="2CB0408E"/>
    <w:rsid w:val="2CB63A29"/>
    <w:rsid w:val="2CB9652E"/>
    <w:rsid w:val="2CDC1FAF"/>
    <w:rsid w:val="2D03015C"/>
    <w:rsid w:val="2DC25921"/>
    <w:rsid w:val="2E2C4970"/>
    <w:rsid w:val="2E594D43"/>
    <w:rsid w:val="2E767AAC"/>
    <w:rsid w:val="2EE4719A"/>
    <w:rsid w:val="2F051B36"/>
    <w:rsid w:val="2F457D2B"/>
    <w:rsid w:val="2F766742"/>
    <w:rsid w:val="2F973648"/>
    <w:rsid w:val="2FC75471"/>
    <w:rsid w:val="30087837"/>
    <w:rsid w:val="3079410F"/>
    <w:rsid w:val="30835E66"/>
    <w:rsid w:val="30913CD1"/>
    <w:rsid w:val="30AB659C"/>
    <w:rsid w:val="30B75796"/>
    <w:rsid w:val="30DB40E5"/>
    <w:rsid w:val="31194D72"/>
    <w:rsid w:val="311E58BA"/>
    <w:rsid w:val="312276EF"/>
    <w:rsid w:val="312F63AB"/>
    <w:rsid w:val="313E73BD"/>
    <w:rsid w:val="315F792B"/>
    <w:rsid w:val="319C46DB"/>
    <w:rsid w:val="31AA06AE"/>
    <w:rsid w:val="31F369F1"/>
    <w:rsid w:val="322D42B2"/>
    <w:rsid w:val="323F0A11"/>
    <w:rsid w:val="325356C8"/>
    <w:rsid w:val="32673AB6"/>
    <w:rsid w:val="32877501"/>
    <w:rsid w:val="32BE7A74"/>
    <w:rsid w:val="32CC4AB4"/>
    <w:rsid w:val="32D83CEC"/>
    <w:rsid w:val="332F6B0C"/>
    <w:rsid w:val="333472C1"/>
    <w:rsid w:val="334B7E1E"/>
    <w:rsid w:val="335635C0"/>
    <w:rsid w:val="33CF1B00"/>
    <w:rsid w:val="340071A3"/>
    <w:rsid w:val="34032E1B"/>
    <w:rsid w:val="340F2862"/>
    <w:rsid w:val="342622AD"/>
    <w:rsid w:val="344C4197"/>
    <w:rsid w:val="344D7F0F"/>
    <w:rsid w:val="34853B4C"/>
    <w:rsid w:val="349027AE"/>
    <w:rsid w:val="349E4639"/>
    <w:rsid w:val="34CF157B"/>
    <w:rsid w:val="353E6CD0"/>
    <w:rsid w:val="35623844"/>
    <w:rsid w:val="357F23AC"/>
    <w:rsid w:val="35977526"/>
    <w:rsid w:val="35B2271F"/>
    <w:rsid w:val="35BA15D4"/>
    <w:rsid w:val="35E00751"/>
    <w:rsid w:val="35E14DB3"/>
    <w:rsid w:val="35E46651"/>
    <w:rsid w:val="35E8584B"/>
    <w:rsid w:val="364C4FDC"/>
    <w:rsid w:val="36525CC9"/>
    <w:rsid w:val="36657792"/>
    <w:rsid w:val="368436BA"/>
    <w:rsid w:val="370F669F"/>
    <w:rsid w:val="371D7C1F"/>
    <w:rsid w:val="371E4495"/>
    <w:rsid w:val="37272639"/>
    <w:rsid w:val="372904E3"/>
    <w:rsid w:val="37395589"/>
    <w:rsid w:val="375546D0"/>
    <w:rsid w:val="375559C6"/>
    <w:rsid w:val="37611EA9"/>
    <w:rsid w:val="3776366D"/>
    <w:rsid w:val="37983B97"/>
    <w:rsid w:val="379F6F0D"/>
    <w:rsid w:val="37C4673A"/>
    <w:rsid w:val="37CD5F06"/>
    <w:rsid w:val="37D14649"/>
    <w:rsid w:val="37EB595D"/>
    <w:rsid w:val="37F54B45"/>
    <w:rsid w:val="38080D1C"/>
    <w:rsid w:val="3838253A"/>
    <w:rsid w:val="38CD349A"/>
    <w:rsid w:val="39111E53"/>
    <w:rsid w:val="39382F3B"/>
    <w:rsid w:val="394915ED"/>
    <w:rsid w:val="3976376D"/>
    <w:rsid w:val="397B7E11"/>
    <w:rsid w:val="398845E4"/>
    <w:rsid w:val="399D36E6"/>
    <w:rsid w:val="39B747A8"/>
    <w:rsid w:val="39DB63D0"/>
    <w:rsid w:val="39E80A65"/>
    <w:rsid w:val="3A2C0D8D"/>
    <w:rsid w:val="3A3633B4"/>
    <w:rsid w:val="3A4B7A64"/>
    <w:rsid w:val="3A5054D8"/>
    <w:rsid w:val="3A6E132D"/>
    <w:rsid w:val="3AAD06CB"/>
    <w:rsid w:val="3AAF0B8D"/>
    <w:rsid w:val="3AE34E80"/>
    <w:rsid w:val="3AF3727C"/>
    <w:rsid w:val="3AFC3044"/>
    <w:rsid w:val="3B0262E5"/>
    <w:rsid w:val="3B0C350F"/>
    <w:rsid w:val="3B255825"/>
    <w:rsid w:val="3B4C05F7"/>
    <w:rsid w:val="3B8B3E2A"/>
    <w:rsid w:val="3B974891"/>
    <w:rsid w:val="3BC24658"/>
    <w:rsid w:val="3BE227C7"/>
    <w:rsid w:val="3C1A7270"/>
    <w:rsid w:val="3C51154D"/>
    <w:rsid w:val="3C9E75C5"/>
    <w:rsid w:val="3D2B1331"/>
    <w:rsid w:val="3D3274D5"/>
    <w:rsid w:val="3D3D4FC4"/>
    <w:rsid w:val="3D5C3DFE"/>
    <w:rsid w:val="3D813435"/>
    <w:rsid w:val="3D813F9B"/>
    <w:rsid w:val="3DD5259D"/>
    <w:rsid w:val="3E2D7CCF"/>
    <w:rsid w:val="3E9E7CE5"/>
    <w:rsid w:val="3EA3354D"/>
    <w:rsid w:val="3EF573A8"/>
    <w:rsid w:val="3F0D3C94"/>
    <w:rsid w:val="3F1D08FE"/>
    <w:rsid w:val="3F676329"/>
    <w:rsid w:val="3FA22F1E"/>
    <w:rsid w:val="3FD67B1B"/>
    <w:rsid w:val="3FF17D12"/>
    <w:rsid w:val="403C5A07"/>
    <w:rsid w:val="4057639D"/>
    <w:rsid w:val="406D6C50"/>
    <w:rsid w:val="408C1318"/>
    <w:rsid w:val="40BE3530"/>
    <w:rsid w:val="412A7199"/>
    <w:rsid w:val="412D1108"/>
    <w:rsid w:val="416E7E42"/>
    <w:rsid w:val="41765DD5"/>
    <w:rsid w:val="419542A7"/>
    <w:rsid w:val="41D85E01"/>
    <w:rsid w:val="41FE2A4F"/>
    <w:rsid w:val="42100EF9"/>
    <w:rsid w:val="42186000"/>
    <w:rsid w:val="422C0DC4"/>
    <w:rsid w:val="423673C6"/>
    <w:rsid w:val="428B3630"/>
    <w:rsid w:val="42926202"/>
    <w:rsid w:val="434B43BD"/>
    <w:rsid w:val="435D13AE"/>
    <w:rsid w:val="43761230"/>
    <w:rsid w:val="43A3069B"/>
    <w:rsid w:val="43A463DC"/>
    <w:rsid w:val="43AB6D30"/>
    <w:rsid w:val="43CD3B5E"/>
    <w:rsid w:val="43FE180D"/>
    <w:rsid w:val="443A3EFD"/>
    <w:rsid w:val="443D58AA"/>
    <w:rsid w:val="44896D41"/>
    <w:rsid w:val="44904AEE"/>
    <w:rsid w:val="449B00DA"/>
    <w:rsid w:val="44C67F95"/>
    <w:rsid w:val="44F01788"/>
    <w:rsid w:val="4509478F"/>
    <w:rsid w:val="456606D9"/>
    <w:rsid w:val="45860F7B"/>
    <w:rsid w:val="45AD3DE6"/>
    <w:rsid w:val="45CC3389"/>
    <w:rsid w:val="45F5336E"/>
    <w:rsid w:val="46014823"/>
    <w:rsid w:val="460A7490"/>
    <w:rsid w:val="460D5750"/>
    <w:rsid w:val="46152F39"/>
    <w:rsid w:val="468666D7"/>
    <w:rsid w:val="46D44F79"/>
    <w:rsid w:val="471E192F"/>
    <w:rsid w:val="472C05E5"/>
    <w:rsid w:val="47BC2F72"/>
    <w:rsid w:val="47C94FE0"/>
    <w:rsid w:val="47E27ECC"/>
    <w:rsid w:val="47F6649C"/>
    <w:rsid w:val="48260317"/>
    <w:rsid w:val="483A4CFE"/>
    <w:rsid w:val="48444225"/>
    <w:rsid w:val="4858746F"/>
    <w:rsid w:val="488A4131"/>
    <w:rsid w:val="48A30A78"/>
    <w:rsid w:val="48A8695E"/>
    <w:rsid w:val="48C37C50"/>
    <w:rsid w:val="48C4659A"/>
    <w:rsid w:val="4915390D"/>
    <w:rsid w:val="49225ED0"/>
    <w:rsid w:val="492D3843"/>
    <w:rsid w:val="493A685C"/>
    <w:rsid w:val="497B25B3"/>
    <w:rsid w:val="49803CD2"/>
    <w:rsid w:val="49816239"/>
    <w:rsid w:val="499C16AC"/>
    <w:rsid w:val="49A42872"/>
    <w:rsid w:val="49A54A42"/>
    <w:rsid w:val="49BC6825"/>
    <w:rsid w:val="49C042F2"/>
    <w:rsid w:val="49D373CD"/>
    <w:rsid w:val="49D43520"/>
    <w:rsid w:val="49E073A4"/>
    <w:rsid w:val="49F106F9"/>
    <w:rsid w:val="4A0B01F8"/>
    <w:rsid w:val="4A807BAD"/>
    <w:rsid w:val="4B0A52C1"/>
    <w:rsid w:val="4B0C3288"/>
    <w:rsid w:val="4B791462"/>
    <w:rsid w:val="4B9C55AC"/>
    <w:rsid w:val="4BDE0D7D"/>
    <w:rsid w:val="4BF67334"/>
    <w:rsid w:val="4C297F74"/>
    <w:rsid w:val="4C2A37F0"/>
    <w:rsid w:val="4C39104D"/>
    <w:rsid w:val="4C520360"/>
    <w:rsid w:val="4C60482B"/>
    <w:rsid w:val="4C967B61"/>
    <w:rsid w:val="4CAC76B6"/>
    <w:rsid w:val="4CB026EC"/>
    <w:rsid w:val="4CE500FB"/>
    <w:rsid w:val="4D065F7A"/>
    <w:rsid w:val="4D151ABA"/>
    <w:rsid w:val="4D1D44CA"/>
    <w:rsid w:val="4D605492"/>
    <w:rsid w:val="4D64638C"/>
    <w:rsid w:val="4D666E75"/>
    <w:rsid w:val="4D96270F"/>
    <w:rsid w:val="4DE437CE"/>
    <w:rsid w:val="4E2D4BE1"/>
    <w:rsid w:val="4E30647F"/>
    <w:rsid w:val="4E434DB0"/>
    <w:rsid w:val="4EA2615B"/>
    <w:rsid w:val="4EA70518"/>
    <w:rsid w:val="4EB41737"/>
    <w:rsid w:val="4EBB56AA"/>
    <w:rsid w:val="4EC20C7A"/>
    <w:rsid w:val="4ECF7C99"/>
    <w:rsid w:val="4ED03E2A"/>
    <w:rsid w:val="4EE47AAA"/>
    <w:rsid w:val="4F1B4F2C"/>
    <w:rsid w:val="4F4C553B"/>
    <w:rsid w:val="4F5675D7"/>
    <w:rsid w:val="4F801E7D"/>
    <w:rsid w:val="4FB503C8"/>
    <w:rsid w:val="4FCC21D8"/>
    <w:rsid w:val="4FEA67E9"/>
    <w:rsid w:val="50387033"/>
    <w:rsid w:val="50777615"/>
    <w:rsid w:val="508605D9"/>
    <w:rsid w:val="50F86551"/>
    <w:rsid w:val="519235A2"/>
    <w:rsid w:val="51F30EBB"/>
    <w:rsid w:val="523F39FE"/>
    <w:rsid w:val="52447207"/>
    <w:rsid w:val="52470AB7"/>
    <w:rsid w:val="527305F3"/>
    <w:rsid w:val="529220D7"/>
    <w:rsid w:val="5293435A"/>
    <w:rsid w:val="532A6EE5"/>
    <w:rsid w:val="536D4938"/>
    <w:rsid w:val="53C95D85"/>
    <w:rsid w:val="53E867BD"/>
    <w:rsid w:val="53EC14F6"/>
    <w:rsid w:val="540B32CF"/>
    <w:rsid w:val="541E5346"/>
    <w:rsid w:val="541F146B"/>
    <w:rsid w:val="549D39F9"/>
    <w:rsid w:val="54B575D6"/>
    <w:rsid w:val="54E87AB4"/>
    <w:rsid w:val="55313209"/>
    <w:rsid w:val="554538AF"/>
    <w:rsid w:val="554B7117"/>
    <w:rsid w:val="55DE0103"/>
    <w:rsid w:val="564A438F"/>
    <w:rsid w:val="565E3CEB"/>
    <w:rsid w:val="567970CB"/>
    <w:rsid w:val="568A207F"/>
    <w:rsid w:val="56981361"/>
    <w:rsid w:val="56AC1CAB"/>
    <w:rsid w:val="56CF0295"/>
    <w:rsid w:val="56D24578"/>
    <w:rsid w:val="56D848CE"/>
    <w:rsid w:val="56F860FB"/>
    <w:rsid w:val="56FD67D8"/>
    <w:rsid w:val="57415546"/>
    <w:rsid w:val="5747701F"/>
    <w:rsid w:val="5755618C"/>
    <w:rsid w:val="575C565C"/>
    <w:rsid w:val="578A2142"/>
    <w:rsid w:val="5792050E"/>
    <w:rsid w:val="57A203EE"/>
    <w:rsid w:val="57A30576"/>
    <w:rsid w:val="58086B27"/>
    <w:rsid w:val="581642B8"/>
    <w:rsid w:val="58490869"/>
    <w:rsid w:val="58543536"/>
    <w:rsid w:val="58550FBC"/>
    <w:rsid w:val="586438F5"/>
    <w:rsid w:val="58892DB2"/>
    <w:rsid w:val="58B2640F"/>
    <w:rsid w:val="59060509"/>
    <w:rsid w:val="59121AF0"/>
    <w:rsid w:val="591D33F7"/>
    <w:rsid w:val="59394D32"/>
    <w:rsid w:val="593B4656"/>
    <w:rsid w:val="59C65D64"/>
    <w:rsid w:val="59CF47E5"/>
    <w:rsid w:val="5A186745"/>
    <w:rsid w:val="5A1E20C2"/>
    <w:rsid w:val="5A214A41"/>
    <w:rsid w:val="5A2261B3"/>
    <w:rsid w:val="5A4B3692"/>
    <w:rsid w:val="5A774440"/>
    <w:rsid w:val="5AB50F7C"/>
    <w:rsid w:val="5AE01DBC"/>
    <w:rsid w:val="5B0F5A6C"/>
    <w:rsid w:val="5B3351F8"/>
    <w:rsid w:val="5B5211E4"/>
    <w:rsid w:val="5BC254C5"/>
    <w:rsid w:val="5BFB7CFF"/>
    <w:rsid w:val="5C0A1FAF"/>
    <w:rsid w:val="5C367357"/>
    <w:rsid w:val="5C415E64"/>
    <w:rsid w:val="5C953382"/>
    <w:rsid w:val="5CC52615"/>
    <w:rsid w:val="5CD13DCB"/>
    <w:rsid w:val="5CF87471"/>
    <w:rsid w:val="5D030065"/>
    <w:rsid w:val="5D04165A"/>
    <w:rsid w:val="5D1F031D"/>
    <w:rsid w:val="5D7677B9"/>
    <w:rsid w:val="5D832FF6"/>
    <w:rsid w:val="5DCB1D21"/>
    <w:rsid w:val="5DEA7287"/>
    <w:rsid w:val="5E2356B9"/>
    <w:rsid w:val="5E6E3076"/>
    <w:rsid w:val="5E800D5D"/>
    <w:rsid w:val="5ECB022A"/>
    <w:rsid w:val="5EDB55D1"/>
    <w:rsid w:val="5EF35A4E"/>
    <w:rsid w:val="5F1D035A"/>
    <w:rsid w:val="5F3D3E70"/>
    <w:rsid w:val="5F5801E1"/>
    <w:rsid w:val="5F8236F2"/>
    <w:rsid w:val="5F9621E9"/>
    <w:rsid w:val="5FA171DD"/>
    <w:rsid w:val="5FC37153"/>
    <w:rsid w:val="5FCB2568"/>
    <w:rsid w:val="6057789C"/>
    <w:rsid w:val="605F3DF4"/>
    <w:rsid w:val="60695F4D"/>
    <w:rsid w:val="6092669C"/>
    <w:rsid w:val="60C43183"/>
    <w:rsid w:val="60C72C73"/>
    <w:rsid w:val="60CF254A"/>
    <w:rsid w:val="60ED35FB"/>
    <w:rsid w:val="61044DE8"/>
    <w:rsid w:val="61056E3D"/>
    <w:rsid w:val="612E1D3E"/>
    <w:rsid w:val="6168780F"/>
    <w:rsid w:val="61965765"/>
    <w:rsid w:val="61AF49EB"/>
    <w:rsid w:val="61E65824"/>
    <w:rsid w:val="61E744FB"/>
    <w:rsid w:val="61FB4DCE"/>
    <w:rsid w:val="62066613"/>
    <w:rsid w:val="62093E87"/>
    <w:rsid w:val="621F4BCC"/>
    <w:rsid w:val="6245462F"/>
    <w:rsid w:val="625078CE"/>
    <w:rsid w:val="62683FE2"/>
    <w:rsid w:val="627666FF"/>
    <w:rsid w:val="629E17B2"/>
    <w:rsid w:val="62C15295"/>
    <w:rsid w:val="62C335F7"/>
    <w:rsid w:val="632E1990"/>
    <w:rsid w:val="632E24D2"/>
    <w:rsid w:val="632E6FDA"/>
    <w:rsid w:val="634B7B8C"/>
    <w:rsid w:val="63AA090A"/>
    <w:rsid w:val="63BE6338"/>
    <w:rsid w:val="63D3192F"/>
    <w:rsid w:val="642C601E"/>
    <w:rsid w:val="643402DA"/>
    <w:rsid w:val="64416899"/>
    <w:rsid w:val="64437351"/>
    <w:rsid w:val="6450297C"/>
    <w:rsid w:val="64754165"/>
    <w:rsid w:val="64986E00"/>
    <w:rsid w:val="64D67929"/>
    <w:rsid w:val="64F0086B"/>
    <w:rsid w:val="65100493"/>
    <w:rsid w:val="654B11D8"/>
    <w:rsid w:val="654E1DF4"/>
    <w:rsid w:val="65B15EE7"/>
    <w:rsid w:val="66115BC0"/>
    <w:rsid w:val="66145D69"/>
    <w:rsid w:val="663931FF"/>
    <w:rsid w:val="66407527"/>
    <w:rsid w:val="6646256E"/>
    <w:rsid w:val="6681625A"/>
    <w:rsid w:val="6692162D"/>
    <w:rsid w:val="669B6752"/>
    <w:rsid w:val="66FA459A"/>
    <w:rsid w:val="67BF46A4"/>
    <w:rsid w:val="67C779FD"/>
    <w:rsid w:val="67E83F23"/>
    <w:rsid w:val="67F51A9C"/>
    <w:rsid w:val="67FE4FE1"/>
    <w:rsid w:val="683C0C0E"/>
    <w:rsid w:val="68677C8E"/>
    <w:rsid w:val="68AC0371"/>
    <w:rsid w:val="68B61BDB"/>
    <w:rsid w:val="68C10F6E"/>
    <w:rsid w:val="68DF2431"/>
    <w:rsid w:val="68E64F9F"/>
    <w:rsid w:val="69072F07"/>
    <w:rsid w:val="6918607C"/>
    <w:rsid w:val="69261DCB"/>
    <w:rsid w:val="69BE2739"/>
    <w:rsid w:val="69EC27BC"/>
    <w:rsid w:val="69F91590"/>
    <w:rsid w:val="6A204DBF"/>
    <w:rsid w:val="6A271F9E"/>
    <w:rsid w:val="6A274783"/>
    <w:rsid w:val="6A72211A"/>
    <w:rsid w:val="6A8103F8"/>
    <w:rsid w:val="6AFF300A"/>
    <w:rsid w:val="6B2A6B6A"/>
    <w:rsid w:val="6B613DF2"/>
    <w:rsid w:val="6B846F4B"/>
    <w:rsid w:val="6BAC3D4E"/>
    <w:rsid w:val="6BB66C96"/>
    <w:rsid w:val="6BEE2725"/>
    <w:rsid w:val="6BF94827"/>
    <w:rsid w:val="6C1D7B8D"/>
    <w:rsid w:val="6C2151E3"/>
    <w:rsid w:val="6C9358D9"/>
    <w:rsid w:val="6C9F6913"/>
    <w:rsid w:val="6CC063CB"/>
    <w:rsid w:val="6D21296A"/>
    <w:rsid w:val="6D457B24"/>
    <w:rsid w:val="6D485395"/>
    <w:rsid w:val="6D5017F5"/>
    <w:rsid w:val="6D6E4E90"/>
    <w:rsid w:val="6D82064E"/>
    <w:rsid w:val="6DAC6876"/>
    <w:rsid w:val="6DAD10F8"/>
    <w:rsid w:val="6E072901"/>
    <w:rsid w:val="6E775C2D"/>
    <w:rsid w:val="6ED4751D"/>
    <w:rsid w:val="6EDB3780"/>
    <w:rsid w:val="6EFC378C"/>
    <w:rsid w:val="6F3C2A7E"/>
    <w:rsid w:val="6F444F7F"/>
    <w:rsid w:val="6F716B70"/>
    <w:rsid w:val="6FA40449"/>
    <w:rsid w:val="6FBA447B"/>
    <w:rsid w:val="6FF9096F"/>
    <w:rsid w:val="706B3D8C"/>
    <w:rsid w:val="707B3132"/>
    <w:rsid w:val="7091588B"/>
    <w:rsid w:val="709E4C26"/>
    <w:rsid w:val="70A8536B"/>
    <w:rsid w:val="70CA75FC"/>
    <w:rsid w:val="70DA4E8F"/>
    <w:rsid w:val="70FB2DB2"/>
    <w:rsid w:val="714A1482"/>
    <w:rsid w:val="715E0A8A"/>
    <w:rsid w:val="715E7C7F"/>
    <w:rsid w:val="71762861"/>
    <w:rsid w:val="71B64C39"/>
    <w:rsid w:val="71BA368C"/>
    <w:rsid w:val="71BD0D2E"/>
    <w:rsid w:val="71D05A63"/>
    <w:rsid w:val="71E008AF"/>
    <w:rsid w:val="71F36CE7"/>
    <w:rsid w:val="727677D4"/>
    <w:rsid w:val="727677E6"/>
    <w:rsid w:val="72B411AF"/>
    <w:rsid w:val="72D37256"/>
    <w:rsid w:val="72EF49C6"/>
    <w:rsid w:val="73076EFF"/>
    <w:rsid w:val="7339597B"/>
    <w:rsid w:val="7357515C"/>
    <w:rsid w:val="738B06D8"/>
    <w:rsid w:val="73DB4760"/>
    <w:rsid w:val="73E57241"/>
    <w:rsid w:val="73F6757F"/>
    <w:rsid w:val="74085625"/>
    <w:rsid w:val="7459689C"/>
    <w:rsid w:val="74702755"/>
    <w:rsid w:val="74846CE6"/>
    <w:rsid w:val="74C90551"/>
    <w:rsid w:val="74D72C53"/>
    <w:rsid w:val="74DF6860"/>
    <w:rsid w:val="752547F0"/>
    <w:rsid w:val="75744556"/>
    <w:rsid w:val="758437FF"/>
    <w:rsid w:val="75A629FF"/>
    <w:rsid w:val="75B1647F"/>
    <w:rsid w:val="75B25E4D"/>
    <w:rsid w:val="75F901D7"/>
    <w:rsid w:val="76321DFF"/>
    <w:rsid w:val="764D41DD"/>
    <w:rsid w:val="764E434F"/>
    <w:rsid w:val="76541506"/>
    <w:rsid w:val="765A60A3"/>
    <w:rsid w:val="767A5FEE"/>
    <w:rsid w:val="76805ECB"/>
    <w:rsid w:val="76AC5B92"/>
    <w:rsid w:val="76E45CE3"/>
    <w:rsid w:val="76EA6C22"/>
    <w:rsid w:val="771C242B"/>
    <w:rsid w:val="776963DA"/>
    <w:rsid w:val="77BE726F"/>
    <w:rsid w:val="77D9388F"/>
    <w:rsid w:val="78697121"/>
    <w:rsid w:val="78B100F5"/>
    <w:rsid w:val="78D62C4F"/>
    <w:rsid w:val="78F11143"/>
    <w:rsid w:val="7939364C"/>
    <w:rsid w:val="79E37743"/>
    <w:rsid w:val="79E63D12"/>
    <w:rsid w:val="79F11174"/>
    <w:rsid w:val="79F74C03"/>
    <w:rsid w:val="7A044682"/>
    <w:rsid w:val="7A07271E"/>
    <w:rsid w:val="7A715CD2"/>
    <w:rsid w:val="7A7F056E"/>
    <w:rsid w:val="7A841CDD"/>
    <w:rsid w:val="7ACA1666"/>
    <w:rsid w:val="7AD80D2C"/>
    <w:rsid w:val="7AEA15E0"/>
    <w:rsid w:val="7B174F34"/>
    <w:rsid w:val="7B281F2B"/>
    <w:rsid w:val="7B2B0141"/>
    <w:rsid w:val="7B3439E5"/>
    <w:rsid w:val="7B4B52C9"/>
    <w:rsid w:val="7B5555AF"/>
    <w:rsid w:val="7B560A24"/>
    <w:rsid w:val="7B6320B7"/>
    <w:rsid w:val="7B8051F7"/>
    <w:rsid w:val="7BD26F5F"/>
    <w:rsid w:val="7C326AC2"/>
    <w:rsid w:val="7C781F8D"/>
    <w:rsid w:val="7C815F74"/>
    <w:rsid w:val="7C8F243F"/>
    <w:rsid w:val="7C914409"/>
    <w:rsid w:val="7CA13F21"/>
    <w:rsid w:val="7CAD4B23"/>
    <w:rsid w:val="7CB15CE7"/>
    <w:rsid w:val="7CBF66A9"/>
    <w:rsid w:val="7CD67B7C"/>
    <w:rsid w:val="7D2F72CC"/>
    <w:rsid w:val="7D897AFB"/>
    <w:rsid w:val="7D953895"/>
    <w:rsid w:val="7DD553BF"/>
    <w:rsid w:val="7E0635C9"/>
    <w:rsid w:val="7E2A4B05"/>
    <w:rsid w:val="7E3C7C54"/>
    <w:rsid w:val="7E5526A6"/>
    <w:rsid w:val="7E8565A7"/>
    <w:rsid w:val="7E912EDE"/>
    <w:rsid w:val="7EF6537D"/>
    <w:rsid w:val="7F34107C"/>
    <w:rsid w:val="7F456D20"/>
    <w:rsid w:val="7F4B40EF"/>
    <w:rsid w:val="7F6A60A9"/>
    <w:rsid w:val="7F7818B1"/>
    <w:rsid w:val="7F904EA3"/>
    <w:rsid w:val="7FB5275B"/>
    <w:rsid w:val="7FC1726E"/>
    <w:rsid w:val="7FCA040F"/>
    <w:rsid w:val="7FCD619B"/>
    <w:rsid w:val="7FE50AE2"/>
    <w:rsid w:val="7FFD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nhideWhenUsed="0" w:uiPriority="0" w:semiHidden="0" w:name="toc 2"/>
    <w:lsdException w:unhideWhenUsed="0" w:uiPriority="0" w:semiHidden="0" w:name="toc 3"/>
    <w:lsdException w:qFormat="1" w:unhideWhenUsed="0" w:uiPriority="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Lines="50" w:afterLines="50" w:line="360" w:lineRule="auto"/>
      <w:outlineLvl w:val="0"/>
    </w:pPr>
    <w:rPr>
      <w:rFonts w:ascii="仿宋_GB2312" w:eastAsia="仿宋_GB2312"/>
      <w:b/>
      <w:bCs/>
      <w:sz w:val="32"/>
      <w:szCs w:val="32"/>
    </w:rPr>
  </w:style>
  <w:style w:type="paragraph" w:styleId="3">
    <w:name w:val="heading 2"/>
    <w:basedOn w:val="1"/>
    <w:next w:val="1"/>
    <w:qFormat/>
    <w:uiPriority w:val="0"/>
    <w:pPr>
      <w:widowControl/>
      <w:spacing w:before="100" w:beforeAutospacing="1" w:after="100" w:afterAutospacing="1"/>
      <w:jc w:val="left"/>
      <w:outlineLvl w:val="1"/>
    </w:pPr>
    <w:rPr>
      <w:rFonts w:eastAsia="等线"/>
      <w:kern w:val="0"/>
      <w:sz w:val="36"/>
      <w:szCs w:val="36"/>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semiHidden/>
    <w:unhideWhenUsed/>
    <w:qFormat/>
    <w:uiPriority w:val="99"/>
    <w:pPr>
      <w:ind w:left="420" w:leftChars="200"/>
    </w:pPr>
  </w:style>
  <w:style w:type="paragraph" w:styleId="6">
    <w:name w:val="Normal Indent"/>
    <w:basedOn w:val="1"/>
    <w:next w:val="7"/>
    <w:qFormat/>
    <w:uiPriority w:val="99"/>
    <w:pPr>
      <w:ind w:firstLine="420"/>
    </w:pPr>
    <w:rPr>
      <w:szCs w:val="20"/>
    </w:rPr>
  </w:style>
  <w:style w:type="paragraph" w:styleId="7">
    <w:name w:val="Body Text Indent"/>
    <w:basedOn w:val="1"/>
    <w:next w:val="1"/>
    <w:qFormat/>
    <w:uiPriority w:val="0"/>
    <w:pPr>
      <w:ind w:left="480" w:hanging="480" w:hangingChars="200"/>
    </w:pPr>
    <w:rPr>
      <w:sz w:val="24"/>
    </w:rPr>
  </w:style>
  <w:style w:type="paragraph" w:styleId="8">
    <w:name w:val="annotation text"/>
    <w:basedOn w:val="1"/>
    <w:link w:val="53"/>
    <w:qFormat/>
    <w:uiPriority w:val="0"/>
    <w:pPr>
      <w:jc w:val="left"/>
    </w:pPr>
  </w:style>
  <w:style w:type="paragraph" w:styleId="9">
    <w:name w:val="Body Text"/>
    <w:basedOn w:val="1"/>
    <w:next w:val="10"/>
    <w:qFormat/>
    <w:uiPriority w:val="99"/>
    <w:rPr>
      <w:kern w:val="0"/>
      <w:sz w:val="20"/>
      <w:szCs w:val="20"/>
    </w:rPr>
  </w:style>
  <w:style w:type="paragraph" w:styleId="10">
    <w:name w:val="Body Text First Indent"/>
    <w:basedOn w:val="9"/>
    <w:qFormat/>
    <w:uiPriority w:val="0"/>
    <w:pPr>
      <w:spacing w:line="312" w:lineRule="auto"/>
      <w:ind w:firstLine="420"/>
    </w:pPr>
    <w:rPr>
      <w:szCs w:val="24"/>
    </w:rPr>
  </w:style>
  <w:style w:type="paragraph" w:styleId="11">
    <w:name w:val="Block Text"/>
    <w:basedOn w:val="1"/>
    <w:qFormat/>
    <w:uiPriority w:val="0"/>
    <w:pPr>
      <w:adjustRightInd w:val="0"/>
      <w:spacing w:line="300" w:lineRule="auto"/>
      <w:ind w:left="958" w:right="-120" w:rightChars="-120"/>
      <w:jc w:val="left"/>
    </w:pPr>
    <w:rPr>
      <w:rFonts w:ascii="宋体" w:hAnsi="宋体"/>
      <w:sz w:val="28"/>
    </w:rPr>
  </w:style>
  <w:style w:type="paragraph" w:styleId="12">
    <w:name w:val="Plain Text"/>
    <w:basedOn w:val="1"/>
    <w:next w:val="1"/>
    <w:qFormat/>
    <w:uiPriority w:val="0"/>
    <w:rPr>
      <w:rFonts w:ascii="宋体" w:hAnsi="Courier New"/>
      <w:kern w:val="0"/>
      <w:szCs w:val="21"/>
    </w:rPr>
  </w:style>
  <w:style w:type="paragraph" w:styleId="13">
    <w:name w:val="Body Text Indent 2"/>
    <w:basedOn w:val="1"/>
    <w:qFormat/>
    <w:uiPriority w:val="99"/>
    <w:pPr>
      <w:widowControl/>
      <w:spacing w:line="480" w:lineRule="atLeast"/>
      <w:ind w:firstLine="480"/>
    </w:pPr>
    <w:rPr>
      <w:kern w:val="0"/>
      <w:sz w:val="20"/>
      <w:szCs w:val="20"/>
    </w:rPr>
  </w:style>
  <w:style w:type="paragraph" w:styleId="14">
    <w:name w:val="Balloon Text"/>
    <w:basedOn w:val="1"/>
    <w:link w:val="52"/>
    <w:qFormat/>
    <w:uiPriority w:val="0"/>
    <w:rPr>
      <w:sz w:val="18"/>
      <w:szCs w:val="18"/>
    </w:rPr>
  </w:style>
  <w:style w:type="paragraph" w:styleId="15">
    <w:name w:val="footer"/>
    <w:basedOn w:val="1"/>
    <w:qFormat/>
    <w:uiPriority w:val="99"/>
    <w:pPr>
      <w:tabs>
        <w:tab w:val="center" w:pos="4153"/>
        <w:tab w:val="right" w:pos="8306"/>
      </w:tabs>
      <w:snapToGrid w:val="0"/>
      <w:jc w:val="left"/>
    </w:pPr>
    <w:rPr>
      <w:kern w:val="0"/>
      <w:sz w:val="18"/>
      <w:szCs w:val="18"/>
    </w:rPr>
  </w:style>
  <w:style w:type="paragraph" w:styleId="16">
    <w:name w:val="envelope return"/>
    <w:basedOn w:val="1"/>
    <w:qFormat/>
    <w:uiPriority w:val="99"/>
    <w:pPr>
      <w:snapToGrid w:val="0"/>
    </w:pPr>
    <w:rPr>
      <w:rFonts w:ascii="Arial" w:hAnsi="Arial"/>
    </w:rPr>
  </w:style>
  <w:style w:type="paragraph" w:styleId="1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9"/>
    <w:next w:val="1"/>
    <w:semiHidden/>
    <w:unhideWhenUsed/>
    <w:qFormat/>
    <w:uiPriority w:val="39"/>
  </w:style>
  <w:style w:type="paragraph" w:styleId="19">
    <w:name w:val="index 1"/>
    <w:basedOn w:val="1"/>
    <w:next w:val="1"/>
    <w:qFormat/>
    <w:uiPriority w:val="0"/>
    <w:pPr>
      <w:spacing w:line="220" w:lineRule="exact"/>
      <w:jc w:val="center"/>
    </w:pPr>
    <w:rPr>
      <w:rFonts w:ascii="仿宋_GB2312" w:eastAsia="仿宋_GB2312"/>
      <w:szCs w:val="21"/>
    </w:rPr>
  </w:style>
  <w:style w:type="paragraph" w:styleId="20">
    <w:name w:val="toc 4"/>
    <w:basedOn w:val="1"/>
    <w:next w:val="1"/>
    <w:semiHidden/>
    <w:qFormat/>
    <w:uiPriority w:val="0"/>
    <w:pPr>
      <w:ind w:left="1260" w:leftChars="600"/>
    </w:pPr>
  </w:style>
  <w:style w:type="paragraph" w:styleId="21">
    <w:name w:val="Subtitle"/>
    <w:basedOn w:val="1"/>
    <w:next w:val="1"/>
    <w:qFormat/>
    <w:uiPriority w:val="11"/>
    <w:pPr>
      <w:widowControl/>
      <w:adjustRightInd w:val="0"/>
      <w:snapToGrid w:val="0"/>
      <w:spacing w:before="240" w:after="60" w:line="312" w:lineRule="auto"/>
      <w:jc w:val="center"/>
      <w:outlineLvl w:val="1"/>
    </w:pPr>
    <w:rPr>
      <w:rFonts w:ascii="Cambria" w:hAnsi="Cambria"/>
      <w:bCs/>
      <w:kern w:val="28"/>
      <w:sz w:val="32"/>
      <w:szCs w:val="32"/>
    </w:rPr>
  </w:style>
  <w:style w:type="paragraph" w:styleId="22">
    <w:name w:val="toc 6"/>
    <w:basedOn w:val="1"/>
    <w:next w:val="1"/>
    <w:qFormat/>
    <w:uiPriority w:val="0"/>
    <w:pPr>
      <w:ind w:left="1050"/>
      <w:jc w:val="left"/>
    </w:pPr>
    <w:rPr>
      <w:rFonts w:ascii="Century Gothic" w:hAnsi="Century Gothic"/>
      <w:sz w:val="18"/>
      <w:szCs w:val="18"/>
    </w:rPr>
  </w:style>
  <w:style w:type="paragraph" w:styleId="23">
    <w:name w:val="Body Text Indent 3"/>
    <w:basedOn w:val="1"/>
    <w:qFormat/>
    <w:uiPriority w:val="0"/>
    <w:pPr>
      <w:spacing w:after="120"/>
      <w:ind w:left="420" w:leftChars="200"/>
    </w:pPr>
    <w:rPr>
      <w:rFonts w:ascii="仿宋_GB2312" w:hAnsi="宋体" w:eastAsia="仿宋_GB2312"/>
      <w:color w:val="000000"/>
      <w:kern w:val="0"/>
      <w:sz w:val="24"/>
    </w:rPr>
  </w:style>
  <w:style w:type="paragraph" w:styleId="24">
    <w:name w:val="table of figures"/>
    <w:basedOn w:val="1"/>
    <w:next w:val="1"/>
    <w:unhideWhenUsed/>
    <w:qFormat/>
    <w:uiPriority w:val="99"/>
    <w:pPr>
      <w:ind w:left="200" w:leftChars="200" w:hanging="200" w:hangingChars="200"/>
    </w:pPr>
  </w:style>
  <w:style w:type="paragraph" w:styleId="25">
    <w:name w:val="toc 2"/>
    <w:basedOn w:val="1"/>
    <w:next w:val="1"/>
    <w:qFormat/>
    <w:uiPriority w:val="0"/>
    <w:pPr>
      <w:ind w:left="420" w:leftChars="200"/>
    </w:pPr>
    <w:rPr>
      <w:szCs w:val="24"/>
    </w:rPr>
  </w:style>
  <w:style w:type="paragraph" w:styleId="26">
    <w:name w:val="Body Text 2"/>
    <w:basedOn w:val="1"/>
    <w:qFormat/>
    <w:uiPriority w:val="0"/>
    <w:pPr>
      <w:ind w:right="-512" w:rightChars="-244"/>
    </w:pPr>
    <w:rPr>
      <w:rFonts w:ascii="宋体"/>
      <w:sz w:val="24"/>
    </w:rPr>
  </w:style>
  <w:style w:type="paragraph" w:styleId="27">
    <w:name w:val="Normal (Web)"/>
    <w:basedOn w:val="1"/>
    <w:qFormat/>
    <w:uiPriority w:val="0"/>
    <w:pPr>
      <w:widowControl/>
      <w:spacing w:afterLines="50"/>
      <w:jc w:val="left"/>
    </w:pPr>
    <w:rPr>
      <w:rFonts w:ascii="长城仿宋" w:hAnsi="长城仿宋" w:eastAsia="Arial Unicode MS"/>
      <w:sz w:val="24"/>
    </w:rPr>
  </w:style>
  <w:style w:type="paragraph" w:styleId="28">
    <w:name w:val="Title"/>
    <w:basedOn w:val="1"/>
    <w:next w:val="1"/>
    <w:qFormat/>
    <w:uiPriority w:val="0"/>
    <w:pPr>
      <w:spacing w:before="240" w:after="60"/>
      <w:jc w:val="center"/>
      <w:outlineLvl w:val="0"/>
    </w:pPr>
    <w:rPr>
      <w:rFonts w:ascii="Arial" w:hAnsi="Arial"/>
      <w:sz w:val="32"/>
      <w:szCs w:val="32"/>
    </w:rPr>
  </w:style>
  <w:style w:type="paragraph" w:styleId="29">
    <w:name w:val="annotation subject"/>
    <w:basedOn w:val="8"/>
    <w:next w:val="8"/>
    <w:link w:val="54"/>
    <w:qFormat/>
    <w:uiPriority w:val="0"/>
    <w:rPr>
      <w:b/>
      <w:bCs/>
    </w:rPr>
  </w:style>
  <w:style w:type="paragraph" w:styleId="30">
    <w:name w:val="Body Text First Indent 2"/>
    <w:basedOn w:val="7"/>
    <w:next w:val="1"/>
    <w:qFormat/>
    <w:uiPriority w:val="0"/>
    <w:pPr>
      <w:spacing w:after="120"/>
      <w:ind w:left="420" w:leftChars="200" w:firstLine="420"/>
    </w:pPr>
    <w:rPr>
      <w:rFonts w:cs="宋体"/>
      <w:sz w:val="21"/>
      <w:szCs w:val="21"/>
    </w:rPr>
  </w:style>
  <w:style w:type="table" w:styleId="32">
    <w:name w:val="Table Grid"/>
    <w:basedOn w:val="3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rPr>
      <w:rFonts w:cs="Times New Roman"/>
    </w:rPr>
  </w:style>
  <w:style w:type="character" w:styleId="36">
    <w:name w:val="Hyperlink"/>
    <w:qFormat/>
    <w:uiPriority w:val="0"/>
    <w:rPr>
      <w:color w:val="0000FF"/>
      <w:u w:val="single"/>
    </w:rPr>
  </w:style>
  <w:style w:type="character" w:styleId="37">
    <w:name w:val="annotation reference"/>
    <w:basedOn w:val="33"/>
    <w:qFormat/>
    <w:uiPriority w:val="0"/>
    <w:rPr>
      <w:sz w:val="21"/>
      <w:szCs w:val="21"/>
    </w:rPr>
  </w:style>
  <w:style w:type="paragraph" w:customStyle="1" w:styleId="38">
    <w:name w:val="[Normal]"/>
    <w:qFormat/>
    <w:uiPriority w:val="0"/>
    <w:rPr>
      <w:rFonts w:ascii="宋体" w:hAnsi="宋体" w:eastAsia="宋体" w:cs="Times New Roman"/>
      <w:sz w:val="24"/>
      <w:lang w:val="en-US" w:eastAsia="en-US" w:bidi="ar-SA"/>
    </w:rPr>
  </w:style>
  <w:style w:type="paragraph" w:customStyle="1" w:styleId="39">
    <w:name w:val="表格文字"/>
    <w:basedOn w:val="40"/>
    <w:next w:val="9"/>
    <w:qFormat/>
    <w:uiPriority w:val="99"/>
    <w:pPr>
      <w:adjustRightInd w:val="0"/>
      <w:spacing w:line="420" w:lineRule="atLeast"/>
      <w:jc w:val="left"/>
      <w:textAlignment w:val="baseline"/>
    </w:pPr>
    <w:rPr>
      <w:szCs w:val="24"/>
    </w:rPr>
  </w:style>
  <w:style w:type="paragraph" w:customStyle="1" w:styleId="40">
    <w:name w:val="表格文字（两侧对齐）"/>
    <w:basedOn w:val="1"/>
    <w:qFormat/>
    <w:uiPriority w:val="0"/>
    <w:pPr>
      <w:snapToGrid w:val="0"/>
    </w:pPr>
    <w:rPr>
      <w:sz w:val="20"/>
    </w:rPr>
  </w:style>
  <w:style w:type="paragraph" w:customStyle="1" w:styleId="41">
    <w:name w:val="Normal Indent1"/>
    <w:basedOn w:val="1"/>
    <w:qFormat/>
    <w:uiPriority w:val="0"/>
    <w:pPr>
      <w:ind w:firstLine="420" w:firstLineChars="200"/>
    </w:pPr>
  </w:style>
  <w:style w:type="paragraph" w:customStyle="1" w:styleId="42">
    <w:name w:val="Plain Text1"/>
    <w:basedOn w:val="1"/>
    <w:qFormat/>
    <w:uiPriority w:val="0"/>
    <w:rPr>
      <w:rFonts w:ascii="宋体" w:hAnsi="Courier New"/>
      <w:szCs w:val="20"/>
    </w:rPr>
  </w:style>
  <w:style w:type="paragraph" w:customStyle="1" w:styleId="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4">
    <w:name w:val="正文2"/>
    <w:basedOn w:val="1"/>
    <w:next w:val="18"/>
    <w:qFormat/>
    <w:uiPriority w:val="0"/>
    <w:pPr>
      <w:spacing w:before="156" w:line="360" w:lineRule="auto"/>
      <w:ind w:firstLine="510" w:firstLineChars="200"/>
    </w:pPr>
    <w:rPr>
      <w:sz w:val="24"/>
      <w:szCs w:val="20"/>
    </w:rPr>
  </w:style>
  <w:style w:type="paragraph" w:customStyle="1" w:styleId="45">
    <w:name w:val="列出段落1"/>
    <w:basedOn w:val="1"/>
    <w:qFormat/>
    <w:uiPriority w:val="34"/>
    <w:pPr>
      <w:ind w:firstLine="420" w:firstLineChars="200"/>
    </w:pPr>
  </w:style>
  <w:style w:type="paragraph" w:customStyle="1" w:styleId="46">
    <w:name w:val="l正文"/>
    <w:basedOn w:val="1"/>
    <w:qFormat/>
    <w:uiPriority w:val="0"/>
    <w:pPr>
      <w:spacing w:line="300" w:lineRule="auto"/>
      <w:ind w:firstLine="200" w:firstLineChars="200"/>
      <w:jc w:val="left"/>
    </w:pPr>
    <w:rPr>
      <w:rFonts w:ascii="楷体_GB2312" w:hAnsi="Times" w:eastAsia="楷体_GB2312" w:cs="等线"/>
      <w:sz w:val="24"/>
    </w:rPr>
  </w:style>
  <w:style w:type="paragraph" w:customStyle="1" w:styleId="47">
    <w:name w:val="纯文本1"/>
    <w:basedOn w:val="48"/>
    <w:qFormat/>
    <w:uiPriority w:val="0"/>
    <w:pPr>
      <w:widowControl/>
      <w:jc w:val="left"/>
    </w:pPr>
    <w:rPr>
      <w:rFonts w:hint="default" w:ascii="宋体" w:hAnsi="Courier New"/>
    </w:rPr>
  </w:style>
  <w:style w:type="paragraph" w:customStyle="1" w:styleId="48">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9">
    <w:name w:val="章正文"/>
    <w:basedOn w:val="1"/>
    <w:qFormat/>
    <w:locked/>
    <w:uiPriority w:val="99"/>
    <w:pPr>
      <w:spacing w:beforeLines="50" w:after="120" w:line="300" w:lineRule="auto"/>
      <w:ind w:firstLine="480"/>
    </w:pPr>
    <w:rPr>
      <w:rFonts w:ascii="Helvetica" w:hAnsi="Helvetica"/>
      <w:kern w:val="0"/>
    </w:rPr>
  </w:style>
  <w:style w:type="character" w:customStyle="1" w:styleId="50">
    <w:name w:val="font21"/>
    <w:basedOn w:val="33"/>
    <w:qFormat/>
    <w:uiPriority w:val="0"/>
    <w:rPr>
      <w:rFonts w:hint="eastAsia" w:ascii="宋体" w:hAnsi="宋体" w:eastAsia="宋体" w:cs="宋体"/>
      <w:color w:val="000000"/>
      <w:sz w:val="21"/>
      <w:szCs w:val="21"/>
      <w:u w:val="none"/>
    </w:rPr>
  </w:style>
  <w:style w:type="character" w:customStyle="1" w:styleId="51">
    <w:name w:val="font31"/>
    <w:basedOn w:val="33"/>
    <w:qFormat/>
    <w:uiPriority w:val="0"/>
    <w:rPr>
      <w:rFonts w:hint="eastAsia" w:ascii="宋体" w:hAnsi="宋体" w:eastAsia="宋体" w:cs="宋体"/>
      <w:color w:val="000000"/>
      <w:sz w:val="24"/>
      <w:szCs w:val="24"/>
      <w:u w:val="none"/>
    </w:rPr>
  </w:style>
  <w:style w:type="character" w:customStyle="1" w:styleId="52">
    <w:name w:val="批注框文本 Char"/>
    <w:basedOn w:val="33"/>
    <w:link w:val="14"/>
    <w:qFormat/>
    <w:uiPriority w:val="0"/>
    <w:rPr>
      <w:rFonts w:ascii="Times New Roman" w:hAnsi="Times New Roman" w:eastAsia="宋体" w:cs="Times New Roman"/>
      <w:kern w:val="2"/>
      <w:sz w:val="18"/>
      <w:szCs w:val="18"/>
    </w:rPr>
  </w:style>
  <w:style w:type="character" w:customStyle="1" w:styleId="53">
    <w:name w:val="批注文字 Char"/>
    <w:basedOn w:val="33"/>
    <w:link w:val="8"/>
    <w:qFormat/>
    <w:uiPriority w:val="0"/>
    <w:rPr>
      <w:rFonts w:ascii="Times New Roman" w:hAnsi="Times New Roman" w:eastAsia="宋体" w:cs="Times New Roman"/>
      <w:kern w:val="2"/>
      <w:sz w:val="21"/>
      <w:szCs w:val="22"/>
    </w:rPr>
  </w:style>
  <w:style w:type="character" w:customStyle="1" w:styleId="54">
    <w:name w:val="批注主题 Char"/>
    <w:basedOn w:val="53"/>
    <w:link w:val="29"/>
    <w:qFormat/>
    <w:uiPriority w:val="0"/>
    <w:rPr>
      <w:rFonts w:ascii="Times New Roman" w:hAnsi="Times New Roman" w:eastAsia="宋体" w:cs="Times New Roman"/>
      <w:b/>
      <w:bCs/>
      <w:kern w:val="2"/>
      <w:sz w:val="21"/>
      <w:szCs w:val="22"/>
    </w:rPr>
  </w:style>
  <w:style w:type="paragraph" w:styleId="55">
    <w:name w:val="List Paragraph"/>
    <w:basedOn w:val="1"/>
    <w:qFormat/>
    <w:uiPriority w:val="34"/>
    <w:pPr>
      <w:ind w:firstLine="420" w:firstLineChars="200"/>
    </w:pPr>
  </w:style>
  <w:style w:type="paragraph" w:customStyle="1" w:styleId="56">
    <w:name w:val="正文C"/>
    <w:basedOn w:val="1"/>
    <w:qFormat/>
    <w:uiPriority w:val="0"/>
    <w:pPr>
      <w:spacing w:line="360" w:lineRule="auto"/>
      <w:ind w:firstLine="480" w:firstLineChars="200"/>
    </w:pPr>
    <w:rPr>
      <w:sz w:val="24"/>
      <w:szCs w:val="24"/>
    </w:rPr>
  </w:style>
  <w:style w:type="paragraph" w:customStyle="1" w:styleId="57">
    <w:name w:val="段"/>
    <w:qFormat/>
    <w:uiPriority w:val="0"/>
    <w:pPr>
      <w:autoSpaceDE w:val="0"/>
      <w:autoSpaceDN w:val="0"/>
      <w:spacing w:after="200" w:line="252" w:lineRule="auto"/>
      <w:ind w:firstLine="200" w:firstLineChars="200"/>
      <w:jc w:val="both"/>
    </w:pPr>
    <w:rPr>
      <w:rFonts w:ascii="宋体" w:hAnsi="Calibri" w:eastAsia="宋体" w:cs="Times New Roman"/>
      <w:sz w:val="22"/>
      <w:szCs w:val="22"/>
      <w:lang w:val="en-US" w:eastAsia="zh-CN" w:bidi="ar-SA"/>
    </w:rPr>
  </w:style>
  <w:style w:type="paragraph" w:customStyle="1" w:styleId="58">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color w:val="000000"/>
      <w:kern w:val="0"/>
      <w:sz w:val="24"/>
      <w:szCs w:val="24"/>
      <w:lang w:eastAsia="en-US"/>
    </w:rPr>
  </w:style>
  <w:style w:type="paragraph" w:customStyle="1" w:styleId="59">
    <w:name w:val="2级"/>
    <w:basedOn w:val="1"/>
    <w:qFormat/>
    <w:uiPriority w:val="0"/>
    <w:pPr>
      <w:spacing w:line="360" w:lineRule="auto"/>
      <w:outlineLvl w:val="1"/>
    </w:pPr>
    <w:rPr>
      <w:b/>
    </w:rPr>
  </w:style>
  <w:style w:type="paragraph" w:customStyle="1" w:styleId="60">
    <w:name w:val="正文文本1"/>
    <w:basedOn w:val="1"/>
    <w:qFormat/>
    <w:uiPriority w:val="0"/>
    <w:rPr>
      <w:rFonts w:ascii="Times New Roman" w:hAnsi="Times New Roman" w:eastAsia="宋体"/>
      <w:kern w:val="0"/>
      <w:sz w:val="20"/>
      <w:szCs w:val="20"/>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66</Pages>
  <Words>18419</Words>
  <Characters>19919</Characters>
  <Lines>245</Lines>
  <Paragraphs>69</Paragraphs>
  <TotalTime>245</TotalTime>
  <ScaleCrop>false</ScaleCrop>
  <LinksUpToDate>false</LinksUpToDate>
  <CharactersWithSpaces>20338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2022-06-09T03:54:00Z</dcterms:created>
  <dc:creator>huawei</dc:creator>
  <cp:lastModifiedBy>WKY</cp:lastModifiedBy>
  <cp:lastPrinted>2022-12-09T03:11:00Z</cp:lastPrinted>
  <dcterms:modified xsi:type="dcterms:W3CDTF">2025-01-10T07:12:36Z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5F3C79BAF0614A81A66E5FD62F13958B_13</vt:lpwstr>
  </property>
  <property fmtid="{D5CDD505-2E9C-101B-9397-08002B2CF9AE}" pid="4" name="KSOTemplateDocerSaveRecord">
    <vt:lpwstr>eyJoZGlkIjoiYjJjOTQxYzhjODMyMDAzZmE0MDJkMWFkNmJlNDkwYTUiLCJ1c2VySWQiOiIzNzIxNDYxODcifQ==</vt:lpwstr>
  </property>
</Properties>
</file>